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659E" w14:textId="77777777" w:rsidR="005503B9" w:rsidRPr="00104CFF" w:rsidRDefault="00B86AC0" w:rsidP="005D1139">
      <w:pPr>
        <w:pStyle w:val="Heading1"/>
        <w:rPr>
          <w:b/>
          <w:sz w:val="21"/>
          <w:szCs w:val="21"/>
        </w:rPr>
      </w:pPr>
      <w:bookmarkStart w:id="0" w:name="_Toc190671752"/>
      <w:r>
        <w:rPr>
          <w:b/>
          <w:sz w:val="21"/>
          <w:szCs w:val="21"/>
        </w:rPr>
        <w:t>INTRODUCTION</w:t>
      </w:r>
      <w:bookmarkEnd w:id="0"/>
    </w:p>
    <w:p w14:paraId="38B320C9" w14:textId="77777777" w:rsidR="00714CCE" w:rsidRPr="00104CFF" w:rsidRDefault="00B9128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Les marchés conclus par Construction de Défense Canada (CDC) comprennent des exigences et des normes de rendement mesurables. </w:t>
      </w:r>
    </w:p>
    <w:p w14:paraId="4AFD9650" w14:textId="77777777" w:rsidR="00631E98" w:rsidRPr="00104CFF" w:rsidRDefault="006419A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Le présent document décrit le processus d’évaluation du rendement qui s’applique à tous les marchés de CDC.</w:t>
      </w:r>
    </w:p>
    <w:p w14:paraId="7D7C45FD" w14:textId="77777777" w:rsidR="00DD02C5" w:rsidRPr="00104CFF" w:rsidRDefault="00BC48D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Cette évaluation du rendement présente plusieurs avantages :</w:t>
      </w:r>
    </w:p>
    <w:p w14:paraId="2395ED54" w14:textId="77777777" w:rsidR="004223C8" w:rsidRPr="00104CFF" w:rsidRDefault="00540460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Elle apporte à toutes les parties une compréhension commune des normes appliquées et de la méthode utilisée pour évaluer le rendement dans le cadre de tous les marchés de CDC. </w:t>
      </w:r>
    </w:p>
    <w:p w14:paraId="49BE7114" w14:textId="77777777" w:rsidR="00BC48DD" w:rsidRPr="00104CFF" w:rsidRDefault="00BD1233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Elle appuie la surveillance du rendement et la communication, de manière équitable et uniforme, tout au long du marché. </w:t>
      </w:r>
    </w:p>
    <w:p w14:paraId="2A04E3A2" w14:textId="77777777" w:rsidR="00C917AE" w:rsidRPr="00104CFF" w:rsidRDefault="00D011DD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Elle permet à CDC de reconnaître le bon rendement ou, à l’inverse, de prendre les mesures nécessaires à l’endroit des entreprises qui ne satisfont pas aux exigences d’un marché.</w:t>
      </w:r>
    </w:p>
    <w:p w14:paraId="189D8FC0" w14:textId="77777777" w:rsidR="005503B9" w:rsidRPr="00104CFF" w:rsidRDefault="00965907" w:rsidP="005D1139">
      <w:pPr>
        <w:pStyle w:val="Heading1"/>
        <w:rPr>
          <w:b/>
          <w:sz w:val="21"/>
          <w:szCs w:val="21"/>
        </w:rPr>
      </w:pPr>
      <w:bookmarkStart w:id="1" w:name="_Toc190671755"/>
      <w:r>
        <w:rPr>
          <w:b/>
          <w:sz w:val="21"/>
          <w:szCs w:val="21"/>
        </w:rPr>
        <w:t xml:space="preserve"> </w:t>
      </w:r>
      <w:bookmarkEnd w:id="1"/>
      <w:r>
        <w:rPr>
          <w:b/>
          <w:sz w:val="21"/>
          <w:szCs w:val="21"/>
        </w:rPr>
        <w:t>PROCESSUS D’ÉVALUATION DU RENDEMENT</w:t>
      </w:r>
    </w:p>
    <w:p w14:paraId="6FA080AE" w14:textId="7C6CF978" w:rsidR="00581CB8" w:rsidRPr="00104CFF" w:rsidRDefault="009055A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Le Formulaire du rapport d’évaluation du rendement de l’expert-conseil/de l’entrepreneur/du concepteur-constructeur (FR</w:t>
      </w:r>
      <w:bookmarkStart w:id="2" w:name="_Hlk42719444"/>
      <w:r w:rsidR="005A27BE">
        <w:rPr>
          <w:rFonts w:ascii="Arial" w:hAnsi="Arial" w:cs="Arial"/>
          <w:sz w:val="21"/>
          <w:szCs w:val="21"/>
        </w:rPr>
        <w:t>É</w:t>
      </w:r>
      <w:bookmarkEnd w:id="2"/>
      <w:r>
        <w:rPr>
          <w:rFonts w:ascii="Arial" w:hAnsi="Arial"/>
          <w:sz w:val="21"/>
          <w:szCs w:val="21"/>
        </w:rPr>
        <w:t>RE</w:t>
      </w:r>
      <w:r w:rsidR="00F56065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F56065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>) a été élaboré de façon à convenir à divers types de marchés de CDC.  Le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F56065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F56065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approprié est précisé dans les documents du contrat.</w:t>
      </w:r>
    </w:p>
    <w:p w14:paraId="7B757B6F" w14:textId="79330960" w:rsidR="00546A31" w:rsidRPr="00104CFF" w:rsidRDefault="00546A31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Avant l’achèvement des travaux,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5A27BE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5A27BE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provisoire peut être rempli par CDC afin de communiquer et de consigner les problèmes de rendement.  À l’achèvement des travaux, ou si le marché est retiré à l’entreprise en raison d’un manquement aux exigences,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F56065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F56065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définitif est rempli.</w:t>
      </w:r>
    </w:p>
    <w:p w14:paraId="650D44A3" w14:textId="35FBA561" w:rsidR="00FE6936" w:rsidRPr="00FE6936" w:rsidRDefault="00FE6936" w:rsidP="00FE693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F56065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F56065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définitif pourrait devoir être rempli de nouveau à la fin de la période de garantie si la firme a omis de mettre en œuvre toute tâche liée à la garantie.</w:t>
      </w:r>
    </w:p>
    <w:p w14:paraId="490F1009" w14:textId="6F6E4694" w:rsidR="00F21D87" w:rsidRPr="00D27E87" w:rsidRDefault="00581CB8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Dans le cadre des marchés de consultation en conception,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 xml:space="preserve">RE provisoire est rempli à la fin de la phase </w:t>
      </w:r>
      <w:r w:rsidR="00F56065">
        <w:rPr>
          <w:rFonts w:ascii="Arial" w:hAnsi="Arial"/>
          <w:sz w:val="21"/>
          <w:szCs w:val="21"/>
        </w:rPr>
        <w:t xml:space="preserve">d’appel d’offre  </w:t>
      </w:r>
      <w:r>
        <w:rPr>
          <w:rFonts w:ascii="Arial" w:hAnsi="Arial"/>
          <w:sz w:val="21"/>
          <w:szCs w:val="21"/>
        </w:rPr>
        <w:t>et de la phase de conception, puis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 xml:space="preserve">RE définitif est rempli à l’achèvement des services en phase de construction. </w:t>
      </w:r>
    </w:p>
    <w:p w14:paraId="61E6F58B" w14:textId="749699F1" w:rsidR="00FF3FD3" w:rsidRPr="00104CFF" w:rsidRDefault="00A21F00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Chaque catégorie de rendement est évaluée en fonction des critères minimaux énoncés à l’annexe A du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>.  Des commentaires particuliers sont indiqués pour étayer toutes les notes qui ne se situent pas dans la fourchette de 11 à 16, tandis que des commentaires généraux sont fournis pour toutes les notes se situant dans cette fourchette.</w:t>
      </w:r>
    </w:p>
    <w:p w14:paraId="7466D240" w14:textId="77777777" w:rsidR="00CF4525" w:rsidRPr="00104CFF" w:rsidRDefault="00F45B4A" w:rsidP="005D1139">
      <w:pPr>
        <w:pStyle w:val="Heading1"/>
        <w:rPr>
          <w:b/>
        </w:rPr>
      </w:pPr>
      <w:r>
        <w:rPr>
          <w:b/>
        </w:rPr>
        <w:t>CRITÈRES D’ÉVALUATION DU RENDEMENT</w:t>
      </w:r>
      <w:bookmarkStart w:id="3" w:name="_Toc190671756"/>
    </w:p>
    <w:p w14:paraId="279CCBA6" w14:textId="509CAE42" w:rsidR="000B05EA" w:rsidRPr="00104CFF" w:rsidRDefault="00B2657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Les critères d’évaluation sont résumés dans le tableau 1 ci-dessous.  Les points accordés pour chaque catégorie sont consignés sur le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et sont utilisés pour déterminer une note globale (pourcentage). </w:t>
      </w:r>
    </w:p>
    <w:p w14:paraId="453D7672" w14:textId="7ABA89C1" w:rsidR="00894C2A" w:rsidRPr="00894C2A" w:rsidRDefault="00894C2A" w:rsidP="00894C2A">
      <w:pPr>
        <w:pStyle w:val="Caption"/>
        <w:keepNext/>
        <w:ind w:left="360"/>
        <w:rPr>
          <w:rFonts w:ascii="Arial" w:hAnsi="Arial" w:cs="Arial"/>
        </w:rPr>
      </w:pPr>
      <w:r>
        <w:rPr>
          <w:rFonts w:ascii="Arial" w:hAnsi="Arial"/>
        </w:rPr>
        <w:t>Tableau </w:t>
      </w:r>
      <w:r w:rsidRPr="00894C2A">
        <w:rPr>
          <w:rFonts w:ascii="Arial" w:hAnsi="Arial" w:cs="Arial"/>
        </w:rPr>
        <w:fldChar w:fldCharType="begin"/>
      </w:r>
      <w:r w:rsidRPr="00894C2A">
        <w:rPr>
          <w:rFonts w:ascii="Arial" w:hAnsi="Arial" w:cs="Arial"/>
        </w:rPr>
        <w:instrText xml:space="preserve"> SEQ Table \* ARABIC </w:instrText>
      </w:r>
      <w:r w:rsidRPr="00894C2A">
        <w:rPr>
          <w:rFonts w:ascii="Arial" w:hAnsi="Arial" w:cs="Arial"/>
        </w:rPr>
        <w:fldChar w:fldCharType="separate"/>
      </w:r>
      <w:r w:rsidR="004E41DA">
        <w:rPr>
          <w:rFonts w:ascii="Arial" w:hAnsi="Arial" w:cs="Arial"/>
          <w:noProof/>
        </w:rPr>
        <w:t>1</w:t>
      </w:r>
      <w:r w:rsidRPr="00894C2A">
        <w:rPr>
          <w:rFonts w:ascii="Arial" w:hAnsi="Arial" w:cs="Arial"/>
        </w:rPr>
        <w:fldChar w:fldCharType="end"/>
      </w:r>
      <w:r>
        <w:rPr>
          <w:rFonts w:ascii="Arial" w:hAnsi="Arial"/>
        </w:rPr>
        <w:t>– Critères d’évaluation du rendement</w:t>
      </w:r>
    </w:p>
    <w:tbl>
      <w:tblPr>
        <w:tblW w:w="970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500"/>
        <w:gridCol w:w="1401"/>
        <w:gridCol w:w="1304"/>
        <w:gridCol w:w="1418"/>
        <w:gridCol w:w="1134"/>
        <w:gridCol w:w="1417"/>
        <w:gridCol w:w="1531"/>
      </w:tblGrid>
      <w:tr w:rsidR="00C934B7" w:rsidRPr="00104CFF" w14:paraId="03B7DBFA" w14:textId="77777777" w:rsidTr="00BA52BD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5D6C4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Entrepreneur (CN, SC, FM)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7DD" w14:textId="1F5004EF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Administration/gestion de marché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A06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Exécution/gestion de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FA0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d’exécution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DFA1" w14:textId="1B5671D8" w:rsidR="00C934B7" w:rsidRPr="00104CFF" w:rsidRDefault="00C9684F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Délais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74B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Santé et sécurité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3735" w14:textId="77777777" w:rsidR="00C934B7" w:rsidRPr="00121762" w:rsidRDefault="00121762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Sécurité industrielle</w:t>
            </w:r>
          </w:p>
        </w:tc>
      </w:tr>
      <w:tr w:rsidR="00C934B7" w:rsidRPr="00104CFF" w14:paraId="50FE71A9" w14:textId="77777777" w:rsidTr="00BA52BD">
        <w:trPr>
          <w:cantSplit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EB2B4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Expert-conseil</w:t>
            </w:r>
          </w:p>
          <w:p w14:paraId="7A9A75A9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(KN)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F2C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Administration/gestion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851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Contrôle des coûts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125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du travail/conception/étude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7C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Délais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347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des services de la phase de soumission et des services de la phase de construction/qualité des résultats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3AED" w14:textId="77777777" w:rsidR="00C934B7" w:rsidRPr="00121762" w:rsidRDefault="00121762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Sécurité industrielle</w:t>
            </w:r>
          </w:p>
        </w:tc>
      </w:tr>
      <w:tr w:rsidR="00D22264" w:rsidRPr="00104CFF" w14:paraId="56815DFE" w14:textId="77777777" w:rsidTr="00BA52BD">
        <w:trPr>
          <w:cantSplit/>
          <w:trHeight w:val="6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B38E2" w14:textId="5E5A1F18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Conception-construction modifiée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br/>
              <w:t>(</w:t>
            </w:r>
            <w:r w:rsidR="00EB462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MDB</w:t>
            </w:r>
            <w:r w:rsidR="00C9684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23CB" w14:textId="77777777" w:rsidR="00D22264" w:rsidRPr="00104CFF" w:rsidRDefault="004C35EC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des services de gestion de projet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1FF5" w14:textId="77777777" w:rsidR="00D22264" w:rsidRPr="00104CFF" w:rsidRDefault="004C35EC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des services de conception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9B20" w14:textId="208A56AA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Qualité d</w:t>
            </w:r>
            <w:r w:rsidR="00C9684F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tr</w:t>
            </w:r>
            <w:r w:rsidR="00C9684F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avaux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D90B" w14:textId="7EDC9F01" w:rsidR="00D22264" w:rsidRPr="00104CFF" w:rsidRDefault="00C9684F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Délais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5BD" w14:textId="77777777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Santé et sécurité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3170" w14:textId="77777777" w:rsidR="00D22264" w:rsidRDefault="00D22264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Sécurité industrielle</w:t>
            </w:r>
          </w:p>
        </w:tc>
      </w:tr>
    </w:tbl>
    <w:p w14:paraId="3BFFBDFA" w14:textId="77777777" w:rsidR="00894C2A" w:rsidRPr="00104CFF" w:rsidRDefault="00894C2A" w:rsidP="00894C2A">
      <w:pPr>
        <w:pStyle w:val="PlainText"/>
        <w:spacing w:before="120"/>
        <w:ind w:left="360"/>
        <w:rPr>
          <w:rFonts w:ascii="Arial" w:hAnsi="Arial" w:cs="Arial"/>
          <w:sz w:val="21"/>
          <w:szCs w:val="21"/>
          <w:lang w:val="en-CA"/>
        </w:rPr>
      </w:pPr>
    </w:p>
    <w:bookmarkEnd w:id="3"/>
    <w:p w14:paraId="5D27FE74" w14:textId="77777777" w:rsidR="007E30B9" w:rsidRPr="00104CFF" w:rsidRDefault="00DE5E35" w:rsidP="00104CFF">
      <w:pPr>
        <w:pStyle w:val="Heading1"/>
        <w:spacing w:before="0"/>
        <w:rPr>
          <w:b/>
          <w:sz w:val="21"/>
          <w:szCs w:val="21"/>
        </w:rPr>
      </w:pPr>
      <w:r>
        <w:rPr>
          <w:b/>
          <w:sz w:val="21"/>
          <w:szCs w:val="21"/>
        </w:rPr>
        <w:t>MESURES DÉCOULANT D’UN RÉSULTAT « Inacceptable » OU D’UNE MENTION D’ÉCHEC SUR UN FRERE</w:t>
      </w:r>
    </w:p>
    <w:p w14:paraId="625991CA" w14:textId="77777777" w:rsidR="00914C1D" w:rsidRPr="00104CFF" w:rsidRDefault="00914C1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Un entrepreneur verra ses privilèges à soumissionner suspendus dans les cas suivants :</w:t>
      </w:r>
    </w:p>
    <w:p w14:paraId="213AD092" w14:textId="264A08F1" w:rsidR="00C811A2" w:rsidRPr="00104CFF" w:rsidRDefault="00095D19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s’il obtient une note inférieure à 30 % sur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définitif;</w:t>
      </w:r>
    </w:p>
    <w:p w14:paraId="686030E0" w14:textId="0145D042" w:rsidR="00095D19" w:rsidRPr="00104CFF" w:rsidRDefault="005C51DE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s’il obtient une note de 5 points ou moins pour l’une ou l’autre des catégories sur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définitif. </w:t>
      </w:r>
    </w:p>
    <w:p w14:paraId="4D3FF849" w14:textId="6E532B1F" w:rsidR="00C41AE3" w:rsidRPr="00104CFF" w:rsidRDefault="00C41AE3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Une note inférieure à 51 % obtenue sur 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entraîne l’une ou l’autre des conséquences suivantes :</w:t>
      </w:r>
    </w:p>
    <w:p w14:paraId="2A24EC7A" w14:textId="77777777" w:rsidR="00C41AE3" w:rsidRPr="00104CFF" w:rsidRDefault="009055AB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l’émission d’un avertissement indiquant que l’obtention d’une autre note insatisfaisante entraînera la suspension des privilèges à soumissionner;</w:t>
      </w:r>
    </w:p>
    <w:p w14:paraId="6590C3A2" w14:textId="77777777" w:rsidR="00C41AE3" w:rsidRPr="00104CFF" w:rsidRDefault="00C811A2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 w:after="120"/>
        <w:ind w:left="16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la suspension des privilèges à soumissionner (à la suite de l’obtention d’une deuxième note inférieure à 51 %).</w:t>
      </w:r>
    </w:p>
    <w:p w14:paraId="7DAE0A58" w14:textId="77777777" w:rsidR="0046069F" w:rsidRPr="00104CFF" w:rsidRDefault="0046069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La suspension des privilèges à soumissionner est signifiée à l’entreprise visée par voie d’un avis écrit officiel envoyé par un cadre supérieur de CDC.  Une lettre de « suspension » comprend des références précises aux catégories pour lesquelles le rendement a été insatisfaisant. Elle précise également la durée de la suspension ainsi que les exigences à respecter pour permettre le rétablissement des privilèges.  Les suspensions peuvent se limiter à un délai précis ou être d’une durée indéterminée.  Les privilèges à soumissionner ne peuvent être rétablis que si la période de suspension a pris fin (s’il y a lieu) et que l’entreprise a démontré qu’elle a satisfait aux exigences requises.</w:t>
      </w:r>
    </w:p>
    <w:p w14:paraId="18CFD2C6" w14:textId="77777777" w:rsidR="00A9689F" w:rsidRPr="00104CFF" w:rsidRDefault="00EC6F8D" w:rsidP="005D1139">
      <w:pPr>
        <w:pStyle w:val="Heading1"/>
        <w:rPr>
          <w:b/>
        </w:rPr>
      </w:pPr>
      <w:r>
        <w:rPr>
          <w:b/>
        </w:rPr>
        <w:t>PROCESSUS D’APPEL</w:t>
      </w:r>
    </w:p>
    <w:p w14:paraId="77D5B2B2" w14:textId="77777777" w:rsidR="00C41AE3" w:rsidRPr="00104CFF" w:rsidRDefault="00C41AE3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Lorsqu’un appel relatif à une lettre de « suspension » est en cours d’examen, la suspension des privilèges à soumissionner est maintenue.</w:t>
      </w:r>
    </w:p>
    <w:p w14:paraId="5C353C6A" w14:textId="07AA387B" w:rsidR="00EA19DA" w:rsidRPr="00104CFF" w:rsidRDefault="00EA19DA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L’appel doit être transmis par écrit au directeur national, Gestion des marchés, et ce, dans les dix (10) jours ouvrables suivant la réception du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insatisfaisant.</w:t>
      </w:r>
    </w:p>
    <w:p w14:paraId="015BA220" w14:textId="0C9486C2" w:rsidR="00D341AA" w:rsidRPr="00104CFF" w:rsidRDefault="00683314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Le directeur national, Gestion des marchés examine ensuite l’appel et, au besoin, il peut demander des renseignements supplémentaires à l’entreprise.  À la suite de l’examen, s’il y a lieu, le directeur national avise l’entreprise, par écrit, de toute correction qui sera apportée au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>.  Aucun autre appel visant la correction d’un FR</w:t>
      </w:r>
      <w:r w:rsidR="005A27BE">
        <w:rPr>
          <w:rFonts w:ascii="Arial" w:hAnsi="Arial" w:cs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>RE</w:t>
      </w:r>
      <w:r w:rsidR="00EB4628">
        <w:rPr>
          <w:rFonts w:ascii="Arial" w:hAnsi="Arial"/>
          <w:sz w:val="21"/>
          <w:szCs w:val="21"/>
        </w:rPr>
        <w:t>/FR</w:t>
      </w:r>
      <w:r w:rsidR="005A27BE">
        <w:rPr>
          <w:rFonts w:ascii="Arial" w:hAnsi="Arial" w:cs="Arial"/>
          <w:sz w:val="21"/>
          <w:szCs w:val="21"/>
        </w:rPr>
        <w:t>É</w:t>
      </w:r>
      <w:r w:rsidR="00EB4628">
        <w:rPr>
          <w:rFonts w:ascii="Arial" w:hAnsi="Arial"/>
          <w:sz w:val="21"/>
          <w:szCs w:val="21"/>
        </w:rPr>
        <w:t>RCC</w:t>
      </w:r>
      <w:r>
        <w:rPr>
          <w:rFonts w:ascii="Arial" w:hAnsi="Arial"/>
          <w:sz w:val="21"/>
          <w:szCs w:val="21"/>
        </w:rPr>
        <w:t xml:space="preserve"> ne sera examiné. </w:t>
      </w:r>
    </w:p>
    <w:sectPr w:rsidR="00D341AA" w:rsidRPr="00104CFF" w:rsidSect="00A6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0" w:left="144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2B09" w14:textId="77777777" w:rsidR="001A5BCB" w:rsidRDefault="001A5BCB">
      <w:r>
        <w:separator/>
      </w:r>
    </w:p>
  </w:endnote>
  <w:endnote w:type="continuationSeparator" w:id="0">
    <w:p w14:paraId="2E7283D2" w14:textId="77777777" w:rsidR="001A5BCB" w:rsidRDefault="001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7F70" w14:textId="77777777" w:rsidR="00A824FC" w:rsidRDefault="00A82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78BD" w14:textId="77777777" w:rsidR="00507DCA" w:rsidRDefault="00507DCA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Page 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de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F966" w14:textId="77777777" w:rsidR="00A824FC" w:rsidRDefault="00A8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0EF4" w14:textId="77777777" w:rsidR="001A5BCB" w:rsidRDefault="001A5BCB">
      <w:r>
        <w:separator/>
      </w:r>
    </w:p>
  </w:footnote>
  <w:footnote w:type="continuationSeparator" w:id="0">
    <w:p w14:paraId="5FDB718E" w14:textId="77777777" w:rsidR="001A5BCB" w:rsidRDefault="001A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553B" w14:textId="77777777" w:rsidR="00A824FC" w:rsidRDefault="00A82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2712" w14:textId="2DBB394F" w:rsidR="00507DCA" w:rsidRDefault="00A824FC">
    <w:pPr>
      <w:pStyle w:val="PlainText"/>
      <w:spacing w:before="120"/>
      <w:jc w:val="right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9DB0" wp14:editId="2850810B">
          <wp:simplePos x="0" y="0"/>
          <wp:positionH relativeFrom="column">
            <wp:posOffset>82550</wp:posOffset>
          </wp:positionH>
          <wp:positionV relativeFrom="paragraph">
            <wp:posOffset>19050</wp:posOffset>
          </wp:positionV>
          <wp:extent cx="2171700" cy="4197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264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4E80D6B" wp14:editId="72CE0D6E">
              <wp:simplePos x="0" y="0"/>
              <wp:positionH relativeFrom="column">
                <wp:posOffset>51435</wp:posOffset>
              </wp:positionH>
              <wp:positionV relativeFrom="paragraph">
                <wp:posOffset>2539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E811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"/>
          </w:pict>
        </mc:Fallback>
      </mc:AlternateContent>
    </w:r>
    <w:r w:rsidR="00D22264">
      <w:rPr>
        <w:rFonts w:ascii="Arial" w:hAnsi="Arial"/>
      </w:rPr>
      <w:t>CDL 81 (</w:t>
    </w:r>
    <w:bookmarkStart w:id="4" w:name="_GoBack"/>
    <w:r w:rsidR="00D22264" w:rsidRPr="00E73D86">
      <w:rPr>
        <w:rFonts w:ascii="Arial" w:hAnsi="Arial"/>
        <w:sz w:val="18"/>
        <w:szCs w:val="18"/>
      </w:rPr>
      <w:t>R2020</w:t>
    </w:r>
    <w:bookmarkEnd w:id="4"/>
    <w:r w:rsidR="00D22264">
      <w:rPr>
        <w:rFonts w:ascii="Arial" w:hAnsi="Arial"/>
      </w:rPr>
      <w:t>-0</w:t>
    </w:r>
    <w:r w:rsidR="00D626AB">
      <w:rPr>
        <w:rFonts w:ascii="Arial" w:hAnsi="Arial"/>
      </w:rPr>
      <w:t>6</w:t>
    </w:r>
    <w:r w:rsidR="00D22264">
      <w:rPr>
        <w:rFonts w:ascii="Arial" w:hAnsi="Arial"/>
      </w:rPr>
      <w:t>)</w:t>
    </w:r>
  </w:p>
  <w:p w14:paraId="748B9D9A" w14:textId="23707EBF" w:rsidR="00507DCA" w:rsidRDefault="00507DCA" w:rsidP="007E2E44">
    <w:pPr>
      <w:pStyle w:val="PlainText"/>
      <w:rPr>
        <w:rFonts w:ascii="Arial" w:hAnsi="Arial" w:cs="Arial"/>
        <w:sz w:val="22"/>
      </w:rPr>
    </w:pPr>
  </w:p>
  <w:p w14:paraId="2B2A0266" w14:textId="77777777" w:rsidR="00507DCA" w:rsidRDefault="00D22264"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873513" wp14:editId="740BD7CA">
              <wp:simplePos x="0" y="0"/>
              <wp:positionH relativeFrom="column">
                <wp:posOffset>51435</wp:posOffset>
              </wp:positionH>
              <wp:positionV relativeFrom="paragraph">
                <wp:posOffset>66039</wp:posOffset>
              </wp:positionV>
              <wp:extent cx="59436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07AA06C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EtCh&#10;2QAAAAcBAAAPAAAAAAAAAAAAAAAAAGwEAABkcnMvZG93bnJldi54bWxQSwUGAAAAAAQABADzAAAA&#10;cgUAAAAA&#10;"/>
          </w:pict>
        </mc:Fallback>
      </mc:AlternateContent>
    </w:r>
  </w:p>
  <w:p w14:paraId="05AADACD" w14:textId="77777777" w:rsidR="00507DCA" w:rsidRDefault="00507DCA">
    <w:pPr>
      <w:pStyle w:val="Header"/>
      <w:spacing w:after="240"/>
      <w:jc w:val="center"/>
      <w:rPr>
        <w:rFonts w:ascii="Arial" w:hAnsi="Arial" w:cs="Arial"/>
        <w:b/>
        <w:bCs/>
        <w:sz w:val="22"/>
      </w:rPr>
    </w:pPr>
    <w:r>
      <w:rPr>
        <w:rFonts w:ascii="Arial" w:hAnsi="Arial"/>
        <w:b/>
        <w:bCs/>
        <w:sz w:val="22"/>
      </w:rPr>
      <w:t>LIGNES DIRECTRICES SUR L’ÉVALUATION DU RENDEMENT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6D09" w14:textId="77777777" w:rsidR="00A824FC" w:rsidRDefault="00A8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47E"/>
    <w:multiLevelType w:val="multilevel"/>
    <w:tmpl w:val="55EA5B9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EC4633"/>
    <w:multiLevelType w:val="hybridMultilevel"/>
    <w:tmpl w:val="64EE58AE"/>
    <w:lvl w:ilvl="0" w:tplc="78329734">
      <w:start w:val="6"/>
      <w:numFmt w:val="none"/>
      <w:pStyle w:val="Heading4"/>
      <w:lvlText w:val="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F1512"/>
    <w:multiLevelType w:val="multilevel"/>
    <w:tmpl w:val="22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44"/>
    <w:rsid w:val="000022D4"/>
    <w:rsid w:val="00017135"/>
    <w:rsid w:val="00030EF9"/>
    <w:rsid w:val="0003402F"/>
    <w:rsid w:val="00037269"/>
    <w:rsid w:val="000421AC"/>
    <w:rsid w:val="0004576F"/>
    <w:rsid w:val="000514D3"/>
    <w:rsid w:val="00053818"/>
    <w:rsid w:val="00065A46"/>
    <w:rsid w:val="000707F7"/>
    <w:rsid w:val="0007134D"/>
    <w:rsid w:val="000875F5"/>
    <w:rsid w:val="000907B5"/>
    <w:rsid w:val="00095D19"/>
    <w:rsid w:val="000A3689"/>
    <w:rsid w:val="000A36EE"/>
    <w:rsid w:val="000B05EA"/>
    <w:rsid w:val="000C2CF0"/>
    <w:rsid w:val="000C7CC0"/>
    <w:rsid w:val="000F225F"/>
    <w:rsid w:val="000F22BF"/>
    <w:rsid w:val="001007DC"/>
    <w:rsid w:val="001024DF"/>
    <w:rsid w:val="00104CFF"/>
    <w:rsid w:val="001147B3"/>
    <w:rsid w:val="00121762"/>
    <w:rsid w:val="00126B56"/>
    <w:rsid w:val="00130032"/>
    <w:rsid w:val="0013154B"/>
    <w:rsid w:val="00136193"/>
    <w:rsid w:val="00136C85"/>
    <w:rsid w:val="00136F26"/>
    <w:rsid w:val="001434D9"/>
    <w:rsid w:val="00155702"/>
    <w:rsid w:val="00161019"/>
    <w:rsid w:val="001666B2"/>
    <w:rsid w:val="0017349E"/>
    <w:rsid w:val="0017607F"/>
    <w:rsid w:val="00177935"/>
    <w:rsid w:val="00184C2B"/>
    <w:rsid w:val="001855E8"/>
    <w:rsid w:val="00193595"/>
    <w:rsid w:val="00195154"/>
    <w:rsid w:val="00195D9A"/>
    <w:rsid w:val="001A0639"/>
    <w:rsid w:val="001A484E"/>
    <w:rsid w:val="001A5BCB"/>
    <w:rsid w:val="001C475B"/>
    <w:rsid w:val="001C50E2"/>
    <w:rsid w:val="001D0058"/>
    <w:rsid w:val="001D24AB"/>
    <w:rsid w:val="001E024B"/>
    <w:rsid w:val="001E5FBD"/>
    <w:rsid w:val="001E6453"/>
    <w:rsid w:val="00212B17"/>
    <w:rsid w:val="002173F5"/>
    <w:rsid w:val="00226CC0"/>
    <w:rsid w:val="00231963"/>
    <w:rsid w:val="00242D05"/>
    <w:rsid w:val="00243EE6"/>
    <w:rsid w:val="00244B7E"/>
    <w:rsid w:val="00250412"/>
    <w:rsid w:val="002679E1"/>
    <w:rsid w:val="00274146"/>
    <w:rsid w:val="00277824"/>
    <w:rsid w:val="002843FD"/>
    <w:rsid w:val="00284AAD"/>
    <w:rsid w:val="00287486"/>
    <w:rsid w:val="002878AC"/>
    <w:rsid w:val="00295334"/>
    <w:rsid w:val="002A449D"/>
    <w:rsid w:val="002C165F"/>
    <w:rsid w:val="002C1AD8"/>
    <w:rsid w:val="002C6AF7"/>
    <w:rsid w:val="002D680C"/>
    <w:rsid w:val="00314579"/>
    <w:rsid w:val="00315DAE"/>
    <w:rsid w:val="003249B3"/>
    <w:rsid w:val="00325266"/>
    <w:rsid w:val="00343B6E"/>
    <w:rsid w:val="0034450D"/>
    <w:rsid w:val="0034509B"/>
    <w:rsid w:val="00354ABE"/>
    <w:rsid w:val="00397D90"/>
    <w:rsid w:val="003A54FD"/>
    <w:rsid w:val="003B138B"/>
    <w:rsid w:val="003B681E"/>
    <w:rsid w:val="003D4EDE"/>
    <w:rsid w:val="003D5EB0"/>
    <w:rsid w:val="003F2925"/>
    <w:rsid w:val="003F33CB"/>
    <w:rsid w:val="003F54D4"/>
    <w:rsid w:val="004032EE"/>
    <w:rsid w:val="00412AFF"/>
    <w:rsid w:val="00421946"/>
    <w:rsid w:val="004223C8"/>
    <w:rsid w:val="004223D4"/>
    <w:rsid w:val="004245DB"/>
    <w:rsid w:val="00424EBD"/>
    <w:rsid w:val="00430783"/>
    <w:rsid w:val="00453A6C"/>
    <w:rsid w:val="00454F83"/>
    <w:rsid w:val="0046069F"/>
    <w:rsid w:val="004673D4"/>
    <w:rsid w:val="00482674"/>
    <w:rsid w:val="0048319E"/>
    <w:rsid w:val="00484406"/>
    <w:rsid w:val="004918EC"/>
    <w:rsid w:val="004A5ED9"/>
    <w:rsid w:val="004A7033"/>
    <w:rsid w:val="004C35EC"/>
    <w:rsid w:val="004C61CD"/>
    <w:rsid w:val="004E2422"/>
    <w:rsid w:val="004E36A7"/>
    <w:rsid w:val="004E3C2F"/>
    <w:rsid w:val="004E41DA"/>
    <w:rsid w:val="00500403"/>
    <w:rsid w:val="00507B5E"/>
    <w:rsid w:val="00507DCA"/>
    <w:rsid w:val="005103A7"/>
    <w:rsid w:val="005131BA"/>
    <w:rsid w:val="00540460"/>
    <w:rsid w:val="00546A31"/>
    <w:rsid w:val="005503B9"/>
    <w:rsid w:val="00581CB8"/>
    <w:rsid w:val="00591715"/>
    <w:rsid w:val="005A27BE"/>
    <w:rsid w:val="005B642B"/>
    <w:rsid w:val="005C51DE"/>
    <w:rsid w:val="005C748E"/>
    <w:rsid w:val="005D1139"/>
    <w:rsid w:val="005D1704"/>
    <w:rsid w:val="005E18C9"/>
    <w:rsid w:val="005F5832"/>
    <w:rsid w:val="006030C4"/>
    <w:rsid w:val="00610414"/>
    <w:rsid w:val="00616290"/>
    <w:rsid w:val="00616885"/>
    <w:rsid w:val="0062795C"/>
    <w:rsid w:val="00631E98"/>
    <w:rsid w:val="006419AD"/>
    <w:rsid w:val="006549AE"/>
    <w:rsid w:val="0067206D"/>
    <w:rsid w:val="00680EED"/>
    <w:rsid w:val="00683314"/>
    <w:rsid w:val="00686900"/>
    <w:rsid w:val="00686E9C"/>
    <w:rsid w:val="00687965"/>
    <w:rsid w:val="006918D0"/>
    <w:rsid w:val="006954D4"/>
    <w:rsid w:val="006B2936"/>
    <w:rsid w:val="006C0FD8"/>
    <w:rsid w:val="006D0AA0"/>
    <w:rsid w:val="0070040C"/>
    <w:rsid w:val="007070BA"/>
    <w:rsid w:val="00714CCE"/>
    <w:rsid w:val="007173B8"/>
    <w:rsid w:val="007205F7"/>
    <w:rsid w:val="00731A14"/>
    <w:rsid w:val="00736A26"/>
    <w:rsid w:val="00740835"/>
    <w:rsid w:val="007444FB"/>
    <w:rsid w:val="00745BBF"/>
    <w:rsid w:val="00750F88"/>
    <w:rsid w:val="00757689"/>
    <w:rsid w:val="00764688"/>
    <w:rsid w:val="0077216E"/>
    <w:rsid w:val="00775339"/>
    <w:rsid w:val="00790D63"/>
    <w:rsid w:val="00792E11"/>
    <w:rsid w:val="007B178D"/>
    <w:rsid w:val="007B6A62"/>
    <w:rsid w:val="007C2EB4"/>
    <w:rsid w:val="007C7C9A"/>
    <w:rsid w:val="007D08B4"/>
    <w:rsid w:val="007D0DD8"/>
    <w:rsid w:val="007E2E44"/>
    <w:rsid w:val="007E30B9"/>
    <w:rsid w:val="00806F2F"/>
    <w:rsid w:val="00811BF5"/>
    <w:rsid w:val="008273D9"/>
    <w:rsid w:val="008326A1"/>
    <w:rsid w:val="00834A2A"/>
    <w:rsid w:val="00836008"/>
    <w:rsid w:val="00846274"/>
    <w:rsid w:val="0087194A"/>
    <w:rsid w:val="00873325"/>
    <w:rsid w:val="00886342"/>
    <w:rsid w:val="00891759"/>
    <w:rsid w:val="00894362"/>
    <w:rsid w:val="00894C2A"/>
    <w:rsid w:val="008A1746"/>
    <w:rsid w:val="008A1F58"/>
    <w:rsid w:val="008A3244"/>
    <w:rsid w:val="008B48F3"/>
    <w:rsid w:val="008B6C8F"/>
    <w:rsid w:val="008B738C"/>
    <w:rsid w:val="008C5152"/>
    <w:rsid w:val="008D127C"/>
    <w:rsid w:val="008D303D"/>
    <w:rsid w:val="008D73DF"/>
    <w:rsid w:val="008E011C"/>
    <w:rsid w:val="008E7010"/>
    <w:rsid w:val="0090335A"/>
    <w:rsid w:val="009055AB"/>
    <w:rsid w:val="00906EB8"/>
    <w:rsid w:val="00914C1D"/>
    <w:rsid w:val="00916B9A"/>
    <w:rsid w:val="009229B2"/>
    <w:rsid w:val="00925901"/>
    <w:rsid w:val="00926FAB"/>
    <w:rsid w:val="00930BF2"/>
    <w:rsid w:val="00940574"/>
    <w:rsid w:val="00943ADE"/>
    <w:rsid w:val="0094756E"/>
    <w:rsid w:val="009534FA"/>
    <w:rsid w:val="00965907"/>
    <w:rsid w:val="009806BA"/>
    <w:rsid w:val="00981C48"/>
    <w:rsid w:val="009B1F59"/>
    <w:rsid w:val="009E5830"/>
    <w:rsid w:val="009E6AB2"/>
    <w:rsid w:val="009E7886"/>
    <w:rsid w:val="009F27C5"/>
    <w:rsid w:val="009F49B5"/>
    <w:rsid w:val="009F7133"/>
    <w:rsid w:val="00A11F9F"/>
    <w:rsid w:val="00A21F00"/>
    <w:rsid w:val="00A22646"/>
    <w:rsid w:val="00A262F0"/>
    <w:rsid w:val="00A34F1F"/>
    <w:rsid w:val="00A45DC3"/>
    <w:rsid w:val="00A54186"/>
    <w:rsid w:val="00A55912"/>
    <w:rsid w:val="00A63386"/>
    <w:rsid w:val="00A7706F"/>
    <w:rsid w:val="00A824FC"/>
    <w:rsid w:val="00A86213"/>
    <w:rsid w:val="00A87752"/>
    <w:rsid w:val="00A9689F"/>
    <w:rsid w:val="00AA05DD"/>
    <w:rsid w:val="00AA5C7E"/>
    <w:rsid w:val="00AB0FBA"/>
    <w:rsid w:val="00AC2D42"/>
    <w:rsid w:val="00AD05EB"/>
    <w:rsid w:val="00AD3FA4"/>
    <w:rsid w:val="00AE26EE"/>
    <w:rsid w:val="00AE7343"/>
    <w:rsid w:val="00AF5F7A"/>
    <w:rsid w:val="00B14F7B"/>
    <w:rsid w:val="00B2657B"/>
    <w:rsid w:val="00B46F67"/>
    <w:rsid w:val="00B56771"/>
    <w:rsid w:val="00B803ED"/>
    <w:rsid w:val="00B806B3"/>
    <w:rsid w:val="00B81B82"/>
    <w:rsid w:val="00B82689"/>
    <w:rsid w:val="00B86AC0"/>
    <w:rsid w:val="00B87285"/>
    <w:rsid w:val="00B9128F"/>
    <w:rsid w:val="00B945F6"/>
    <w:rsid w:val="00B95BBC"/>
    <w:rsid w:val="00BA52BD"/>
    <w:rsid w:val="00BA6107"/>
    <w:rsid w:val="00BB4B8A"/>
    <w:rsid w:val="00BB6C0D"/>
    <w:rsid w:val="00BC2B49"/>
    <w:rsid w:val="00BC48DD"/>
    <w:rsid w:val="00BD1233"/>
    <w:rsid w:val="00BD3FBB"/>
    <w:rsid w:val="00BD7CAC"/>
    <w:rsid w:val="00BF3543"/>
    <w:rsid w:val="00BF4A99"/>
    <w:rsid w:val="00BF4C68"/>
    <w:rsid w:val="00BF4CD0"/>
    <w:rsid w:val="00C013B5"/>
    <w:rsid w:val="00C03831"/>
    <w:rsid w:val="00C0542E"/>
    <w:rsid w:val="00C07B2A"/>
    <w:rsid w:val="00C41AE3"/>
    <w:rsid w:val="00C43A9B"/>
    <w:rsid w:val="00C531E4"/>
    <w:rsid w:val="00C6717A"/>
    <w:rsid w:val="00C77E5B"/>
    <w:rsid w:val="00C811A2"/>
    <w:rsid w:val="00C85D10"/>
    <w:rsid w:val="00C87F79"/>
    <w:rsid w:val="00C917AE"/>
    <w:rsid w:val="00C934B7"/>
    <w:rsid w:val="00C9684F"/>
    <w:rsid w:val="00CA666B"/>
    <w:rsid w:val="00CB244A"/>
    <w:rsid w:val="00CC006E"/>
    <w:rsid w:val="00CC03C1"/>
    <w:rsid w:val="00CC1384"/>
    <w:rsid w:val="00CD0FFA"/>
    <w:rsid w:val="00CD7A08"/>
    <w:rsid w:val="00CE2048"/>
    <w:rsid w:val="00CF112F"/>
    <w:rsid w:val="00CF2F32"/>
    <w:rsid w:val="00CF4525"/>
    <w:rsid w:val="00D011DD"/>
    <w:rsid w:val="00D03D99"/>
    <w:rsid w:val="00D13BFB"/>
    <w:rsid w:val="00D1528F"/>
    <w:rsid w:val="00D159CF"/>
    <w:rsid w:val="00D22264"/>
    <w:rsid w:val="00D27E87"/>
    <w:rsid w:val="00D27EED"/>
    <w:rsid w:val="00D32F5D"/>
    <w:rsid w:val="00D341AA"/>
    <w:rsid w:val="00D37593"/>
    <w:rsid w:val="00D43B24"/>
    <w:rsid w:val="00D44F75"/>
    <w:rsid w:val="00D626AB"/>
    <w:rsid w:val="00D64D3A"/>
    <w:rsid w:val="00D64FF6"/>
    <w:rsid w:val="00D67D56"/>
    <w:rsid w:val="00D76D65"/>
    <w:rsid w:val="00D923A0"/>
    <w:rsid w:val="00DC2A4C"/>
    <w:rsid w:val="00DD02C5"/>
    <w:rsid w:val="00DE5E35"/>
    <w:rsid w:val="00DE7EDC"/>
    <w:rsid w:val="00DF423F"/>
    <w:rsid w:val="00DF610E"/>
    <w:rsid w:val="00E07E5F"/>
    <w:rsid w:val="00E10B13"/>
    <w:rsid w:val="00E111BB"/>
    <w:rsid w:val="00E11D0A"/>
    <w:rsid w:val="00E12B46"/>
    <w:rsid w:val="00E178E9"/>
    <w:rsid w:val="00E30D16"/>
    <w:rsid w:val="00E326CC"/>
    <w:rsid w:val="00E445A8"/>
    <w:rsid w:val="00E461A1"/>
    <w:rsid w:val="00E5135A"/>
    <w:rsid w:val="00E702B7"/>
    <w:rsid w:val="00E73D86"/>
    <w:rsid w:val="00E935F4"/>
    <w:rsid w:val="00E943C1"/>
    <w:rsid w:val="00EA19DA"/>
    <w:rsid w:val="00EA6DB8"/>
    <w:rsid w:val="00EB4628"/>
    <w:rsid w:val="00EC1D37"/>
    <w:rsid w:val="00EC1F2D"/>
    <w:rsid w:val="00EC6F8D"/>
    <w:rsid w:val="00EE54B6"/>
    <w:rsid w:val="00F008A0"/>
    <w:rsid w:val="00F00BFB"/>
    <w:rsid w:val="00F21D87"/>
    <w:rsid w:val="00F22426"/>
    <w:rsid w:val="00F36CE0"/>
    <w:rsid w:val="00F36E4D"/>
    <w:rsid w:val="00F40ACA"/>
    <w:rsid w:val="00F45B4A"/>
    <w:rsid w:val="00F461EA"/>
    <w:rsid w:val="00F511B9"/>
    <w:rsid w:val="00F56065"/>
    <w:rsid w:val="00F637C5"/>
    <w:rsid w:val="00F67754"/>
    <w:rsid w:val="00F759F6"/>
    <w:rsid w:val="00F8192D"/>
    <w:rsid w:val="00F84D17"/>
    <w:rsid w:val="00F9483E"/>
    <w:rsid w:val="00FA0BF3"/>
    <w:rsid w:val="00FB5D9A"/>
    <w:rsid w:val="00FC2991"/>
    <w:rsid w:val="00FE272B"/>
    <w:rsid w:val="00FE534F"/>
    <w:rsid w:val="00FE6936"/>
    <w:rsid w:val="00FF0AB0"/>
    <w:rsid w:val="00FF3FD3"/>
    <w:rsid w:val="00FF6F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53E9EA"/>
  <w15:chartTrackingRefBased/>
  <w15:docId w15:val="{DBA8BEA7-304A-4A27-B15D-71F467BB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9356"/>
      </w:tabs>
      <w:spacing w:before="120" w:after="120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576"/>
        <w:tab w:val="left" w:pos="10080"/>
        <w:tab w:val="left" w:pos="10800"/>
        <w:tab w:val="left" w:pos="11520"/>
        <w:tab w:val="left" w:pos="12240"/>
      </w:tabs>
      <w:ind w:left="709" w:hanging="709"/>
      <w:outlineLvl w:val="2"/>
    </w:pPr>
    <w:rPr>
      <w:rFonts w:ascii="Arial" w:hAnsi="Arial" w:cs="Arial"/>
      <w:sz w:val="22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440"/>
      </w:tabs>
      <w:ind w:left="810" w:hanging="810"/>
      <w:outlineLvl w:val="3"/>
    </w:pPr>
    <w:rPr>
      <w:rFonts w:ascii="Arial" w:hAnsi="Arial" w:cs="Arial"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/>
    </w:pPr>
    <w:rPr>
      <w:rFonts w:ascii="Times New" w:hAnsi="Times New"/>
      <w:sz w:val="20"/>
      <w:szCs w:val="24"/>
    </w:rPr>
  </w:style>
  <w:style w:type="paragraph" w:styleId="BodyTextIndent2">
    <w:name w:val="Body Text Indent 2"/>
    <w:basedOn w:val="Normal"/>
    <w:pPr>
      <w:tabs>
        <w:tab w:val="left" w:pos="-576"/>
        <w:tab w:val="left" w:pos="0"/>
        <w:tab w:val="left" w:pos="504"/>
        <w:tab w:val="left" w:pos="1044"/>
        <w:tab w:val="left" w:pos="2484"/>
        <w:tab w:val="left" w:pos="320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044" w:hanging="618"/>
    </w:pPr>
    <w:rPr>
      <w:rFonts w:ascii="Times New" w:hAnsi="Times New"/>
      <w:sz w:val="20"/>
      <w:szCs w:val="24"/>
    </w:rPr>
  </w:style>
  <w:style w:type="paragraph" w:styleId="BodyTextIndent3">
    <w:name w:val="Body Text Indent 3"/>
    <w:basedOn w:val="Normal"/>
    <w:pPr>
      <w:tabs>
        <w:tab w:val="left" w:pos="-576"/>
        <w:tab w:val="left" w:pos="0"/>
        <w:tab w:val="left" w:pos="720"/>
        <w:tab w:val="left" w:pos="1134"/>
        <w:tab w:val="left" w:pos="1584"/>
        <w:tab w:val="left" w:pos="3294"/>
        <w:tab w:val="left" w:pos="383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134" w:hanging="283"/>
    </w:pPr>
    <w:rPr>
      <w:rFonts w:ascii="Times New" w:hAnsi="Times New"/>
      <w:sz w:val="20"/>
      <w:szCs w:val="24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4Document">
    <w:name w:val="4Document"/>
    <w:pPr>
      <w:widowControl w:val="0"/>
    </w:pPr>
    <w:rPr>
      <w:rFonts w:ascii="Courier" w:hAnsi="Courier"/>
      <w:sz w:val="24"/>
      <w:lang w:eastAsia="en-US"/>
    </w:rPr>
  </w:style>
  <w:style w:type="paragraph" w:customStyle="1" w:styleId="1Technical">
    <w:name w:val="1Technical"/>
    <w:pPr>
      <w:widowControl w:val="0"/>
      <w:jc w:val="both"/>
    </w:pPr>
    <w:rPr>
      <w:rFonts w:ascii="Courier" w:hAnsi="Courier"/>
      <w:sz w:val="24"/>
      <w:lang w:eastAsia="en-US"/>
    </w:rPr>
  </w:style>
  <w:style w:type="paragraph" w:customStyle="1" w:styleId="1Document">
    <w:name w:val="1Document"/>
    <w:pPr>
      <w:keepNext/>
      <w:widowControl w:val="0"/>
      <w:jc w:val="center"/>
    </w:pPr>
    <w:rPr>
      <w:rFonts w:ascii="Courier" w:hAnsi="Courier"/>
      <w:sz w:val="24"/>
      <w:lang w:eastAsia="en-US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spacing w:before="120" w:after="12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bodycopy1">
    <w:name w:val="bodycopy1"/>
    <w:rsid w:val="006419A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rsid w:val="00981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C48"/>
    <w:rPr>
      <w:sz w:val="20"/>
    </w:rPr>
  </w:style>
  <w:style w:type="character" w:customStyle="1" w:styleId="CommentTextChar">
    <w:name w:val="Comment Text Char"/>
    <w:link w:val="CommentText"/>
    <w:rsid w:val="00981C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1C48"/>
    <w:rPr>
      <w:b/>
      <w:bCs/>
    </w:rPr>
  </w:style>
  <w:style w:type="character" w:customStyle="1" w:styleId="CommentSubjectChar">
    <w:name w:val="Comment Subject Char"/>
    <w:link w:val="CommentSubject"/>
    <w:rsid w:val="00981C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C4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803ED"/>
    <w:rPr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FF6F7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F68F-AE45-4766-B4DC-05C202A1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4377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 as otherwise directed by Amendment to the Tender Documents, the Contractor shall, at the Contractor's expense, maintain</vt:lpstr>
    </vt:vector>
  </TitlesOfParts>
  <Company>Defence Construction Canada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 as otherwise directed by Amendment to the Tender Documents, the Contractor shall, at the Contractor's expense, maintain</dc:title>
  <dc:subject/>
  <dc:creator>dcc-cdc</dc:creator>
  <cp:keywords/>
  <cp:lastModifiedBy>Plante, Myriam</cp:lastModifiedBy>
  <cp:revision>4</cp:revision>
  <cp:lastPrinted>2020-09-03T18:13:00Z</cp:lastPrinted>
  <dcterms:created xsi:type="dcterms:W3CDTF">2020-09-03T18:13:00Z</dcterms:created>
  <dcterms:modified xsi:type="dcterms:W3CDTF">2021-09-07T15:47:00Z</dcterms:modified>
</cp:coreProperties>
</file>