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6435" w14:textId="77777777" w:rsidR="005503B9" w:rsidRPr="00132164" w:rsidRDefault="00B86AC0" w:rsidP="00013CF6">
      <w:pPr>
        <w:pStyle w:val="Heading1"/>
        <w:rPr>
          <w:b/>
          <w:sz w:val="21"/>
          <w:szCs w:val="21"/>
        </w:rPr>
      </w:pPr>
      <w:r w:rsidRPr="00132164">
        <w:rPr>
          <w:b/>
          <w:sz w:val="21"/>
        </w:rPr>
        <w:t>INTRODUCTION</w:t>
      </w:r>
    </w:p>
    <w:p w14:paraId="0D8AEFE4" w14:textId="77777777" w:rsidR="00714CCE" w:rsidRPr="00132164" w:rsidRDefault="00B9128F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 xml:space="preserve">Les marchés conclus par Construction de </w:t>
      </w:r>
      <w:r w:rsidR="007330D0">
        <w:rPr>
          <w:rFonts w:ascii="Arial" w:hAnsi="Arial"/>
          <w:sz w:val="21"/>
        </w:rPr>
        <w:t>D</w:t>
      </w:r>
      <w:r w:rsidRPr="00132164">
        <w:rPr>
          <w:rFonts w:ascii="Arial" w:hAnsi="Arial"/>
          <w:sz w:val="21"/>
        </w:rPr>
        <w:t xml:space="preserve">éfense Canada (CDC) comprennent des exigences et des normes de rendement mesurables. </w:t>
      </w:r>
    </w:p>
    <w:p w14:paraId="2621BEDE" w14:textId="77777777" w:rsidR="00631E98" w:rsidRPr="00132164" w:rsidRDefault="006419AD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Le présent document décrit le processus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évaluation du rendement qui s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applique à tous les marchés de CDC.</w:t>
      </w:r>
    </w:p>
    <w:p w14:paraId="77A41799" w14:textId="77777777" w:rsidR="00DD02C5" w:rsidRPr="00132164" w:rsidRDefault="00BC48DD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Cette évaluation du rendement présente plusieurs avantages</w:t>
      </w:r>
      <w:r w:rsidR="00842981">
        <w:rPr>
          <w:rFonts w:ascii="Arial" w:hAnsi="Arial"/>
          <w:sz w:val="21"/>
        </w:rPr>
        <w:t> :</w:t>
      </w:r>
    </w:p>
    <w:p w14:paraId="6D2A3753" w14:textId="77777777" w:rsidR="004223C8" w:rsidRPr="00132164" w:rsidRDefault="00540460" w:rsidP="00013CF6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 xml:space="preserve">Elle apporte à toutes les parties une compréhension commune des normes appliquées et de la méthode utilisée pour évaluer le rendement dans le cadre de tous les marchés de CDC. </w:t>
      </w:r>
    </w:p>
    <w:p w14:paraId="079956FA" w14:textId="77777777" w:rsidR="00BC48DD" w:rsidRPr="00132164" w:rsidRDefault="00BD1233" w:rsidP="00013CF6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 xml:space="preserve">Elle appuie la surveillance du rendement et la communication, de manière équitable et uniforme, tout au long du marché. </w:t>
      </w:r>
    </w:p>
    <w:p w14:paraId="20AA76FC" w14:textId="77777777" w:rsidR="00C917AE" w:rsidRPr="00132164" w:rsidRDefault="00D011DD" w:rsidP="00013CF6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7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Elle permet à CDC de reconnaître le bon rendement ou,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inverse, de prendre les mesures nécessaires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endroit des entreprises qui ne satisfont pas aux exigences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 marché.</w:t>
      </w:r>
    </w:p>
    <w:p w14:paraId="46A363EF" w14:textId="77777777" w:rsidR="005503B9" w:rsidRPr="00132164" w:rsidRDefault="00965907" w:rsidP="00013CF6">
      <w:pPr>
        <w:pStyle w:val="Heading1"/>
        <w:rPr>
          <w:b/>
          <w:sz w:val="21"/>
          <w:szCs w:val="21"/>
        </w:rPr>
      </w:pPr>
      <w:r w:rsidRPr="00132164">
        <w:rPr>
          <w:b/>
          <w:sz w:val="21"/>
        </w:rPr>
        <w:t xml:space="preserve"> PROCESSUS D</w:t>
      </w:r>
      <w:r w:rsidR="005F35B0" w:rsidRPr="00132164">
        <w:rPr>
          <w:b/>
          <w:sz w:val="21"/>
        </w:rPr>
        <w:t>’</w:t>
      </w:r>
      <w:r w:rsidRPr="00132164">
        <w:rPr>
          <w:b/>
          <w:sz w:val="21"/>
        </w:rPr>
        <w:t>ÉVALUATION DU RENDEMENT</w:t>
      </w:r>
    </w:p>
    <w:p w14:paraId="053D9F1F" w14:textId="77777777" w:rsidR="00581CB8" w:rsidRPr="00132164" w:rsidRDefault="009055AB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Le Formulaire du rapport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évaluation du rendement de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expert-conseil/entrepreneur (FRERE) a été élaboré de façon à convenir à divers types de marchés de CDC</w:t>
      </w:r>
      <w:r w:rsidR="0059568D" w:rsidRPr="00132164">
        <w:rPr>
          <w:rFonts w:ascii="Arial" w:hAnsi="Arial"/>
          <w:sz w:val="21"/>
        </w:rPr>
        <w:t xml:space="preserve">. </w:t>
      </w:r>
      <w:r w:rsidRPr="00132164">
        <w:rPr>
          <w:rFonts w:ascii="Arial" w:hAnsi="Arial"/>
          <w:sz w:val="21"/>
        </w:rPr>
        <w:t>Le FRERE approprié est précisé dans les documents contractuels.</w:t>
      </w:r>
    </w:p>
    <w:p w14:paraId="280E0CD4" w14:textId="77777777" w:rsidR="00546A31" w:rsidRPr="00132164" w:rsidRDefault="00546A31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Avant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achèvement des travaux, un FRERE provisoire peut être rempli par CDC afin de communiquer et de consigner les problèmes de rendement</w:t>
      </w:r>
      <w:r w:rsidR="0059568D" w:rsidRPr="00132164">
        <w:rPr>
          <w:rFonts w:ascii="Arial" w:hAnsi="Arial"/>
          <w:sz w:val="21"/>
        </w:rPr>
        <w:t xml:space="preserve">. </w:t>
      </w:r>
      <w:r w:rsidRPr="00132164">
        <w:rPr>
          <w:rFonts w:ascii="Arial" w:hAnsi="Arial"/>
          <w:sz w:val="21"/>
        </w:rPr>
        <w:t>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achèvement des travaux, ou si le marché est retiré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entreprise en raison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 manquement aux exigences, un FRERE définitif est rempli.</w:t>
      </w:r>
    </w:p>
    <w:p w14:paraId="3E0EED11" w14:textId="77777777" w:rsidR="00F21D87" w:rsidRPr="00132164" w:rsidRDefault="00581CB8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Dans le cadre des marchés de consultation en conception, un FRERE provisoire est rempli à la fin de la phase de conception, puis un FRERE définitif est rempli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 xml:space="preserve">achèvement des services en phase de construction. </w:t>
      </w:r>
    </w:p>
    <w:p w14:paraId="5DA98D06" w14:textId="77777777" w:rsidR="00FF3FD3" w:rsidRPr="00132164" w:rsidRDefault="00A21F00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Chaque catégorie de rendement est évaluée en fonction des critères minimaux énoncés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annexe A du FRERE</w:t>
      </w:r>
      <w:r w:rsidR="0059568D" w:rsidRPr="00132164">
        <w:rPr>
          <w:rFonts w:ascii="Arial" w:hAnsi="Arial"/>
          <w:sz w:val="21"/>
        </w:rPr>
        <w:t xml:space="preserve">. </w:t>
      </w:r>
      <w:r w:rsidRPr="00132164">
        <w:rPr>
          <w:rFonts w:ascii="Arial" w:hAnsi="Arial"/>
          <w:sz w:val="21"/>
        </w:rPr>
        <w:t>Des commentaires particuliers sont indiqués pour étayer toutes les notes qui ne se situent pas dans la fourchette de 11 à 16, tandis que des commentaires généraux sont fournis pour toutes les notes se situant dans cette fourchette.</w:t>
      </w:r>
    </w:p>
    <w:p w14:paraId="4C9415F1" w14:textId="77777777" w:rsidR="00CF4525" w:rsidRPr="00132164" w:rsidRDefault="00F45B4A" w:rsidP="00013CF6">
      <w:pPr>
        <w:pStyle w:val="Heading1"/>
        <w:rPr>
          <w:b/>
        </w:rPr>
      </w:pPr>
      <w:r w:rsidRPr="00132164">
        <w:rPr>
          <w:b/>
        </w:rPr>
        <w:t>CRITÈRES D</w:t>
      </w:r>
      <w:r w:rsidR="005F35B0" w:rsidRPr="00132164">
        <w:rPr>
          <w:b/>
        </w:rPr>
        <w:t>’</w:t>
      </w:r>
      <w:r w:rsidRPr="00132164">
        <w:rPr>
          <w:b/>
        </w:rPr>
        <w:t>ÉVALUATION DU RENDEMENT</w:t>
      </w:r>
    </w:p>
    <w:p w14:paraId="681A9491" w14:textId="77777777" w:rsidR="00A63386" w:rsidRPr="00480302" w:rsidRDefault="00B2657B" w:rsidP="00480302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7" w:hanging="547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Les critères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 xml:space="preserve">évaluation sont résumés dans le tableau 1 ci-dessous. Les points accordés pour chaque catégorie sont consignés sur le FRERE et sont utilisés pour déterminer une </w:t>
      </w:r>
      <w:proofErr w:type="gramStart"/>
      <w:r w:rsidRPr="00132164">
        <w:rPr>
          <w:rFonts w:ascii="Arial" w:hAnsi="Arial"/>
          <w:sz w:val="21"/>
        </w:rPr>
        <w:t>note</w:t>
      </w:r>
      <w:proofErr w:type="gramEnd"/>
      <w:r w:rsidRPr="00132164">
        <w:rPr>
          <w:rFonts w:ascii="Arial" w:hAnsi="Arial"/>
          <w:sz w:val="21"/>
        </w:rPr>
        <w:t xml:space="preserve"> globale (pourcentage). </w:t>
      </w:r>
    </w:p>
    <w:p w14:paraId="5EC26C98" w14:textId="77777777" w:rsidR="00480302" w:rsidRDefault="00480302" w:rsidP="00480302">
      <w:pPr>
        <w:pStyle w:val="Caption"/>
        <w:keepNext/>
        <w:ind w:left="360"/>
      </w:pPr>
      <w:r>
        <w:t xml:space="preserve">Tableau </w:t>
      </w:r>
      <w:r>
        <w:fldChar w:fldCharType="begin"/>
      </w:r>
      <w:r>
        <w:instrText xml:space="preserve"> SEQ Tableau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-</w:t>
      </w:r>
      <w:r w:rsidRPr="005A2427">
        <w:t>Critères d’évaluation du rendement</w:t>
      </w:r>
    </w:p>
    <w:tbl>
      <w:tblPr>
        <w:tblW w:w="90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638"/>
        <w:gridCol w:w="1490"/>
        <w:gridCol w:w="1490"/>
        <w:gridCol w:w="1491"/>
        <w:gridCol w:w="1490"/>
        <w:gridCol w:w="1491"/>
      </w:tblGrid>
      <w:tr w:rsidR="00C86791" w:rsidRPr="00132164" w14:paraId="44186142" w14:textId="77777777" w:rsidTr="00FE6B08">
        <w:trPr>
          <w:trHeight w:val="612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CCEEF7" w14:textId="77777777" w:rsidR="00C86791" w:rsidRDefault="00FE6B08" w:rsidP="00FE6B08">
            <w:pPr>
              <w:jc w:val="center"/>
              <w:rPr>
                <w:rFonts w:ascii="Arial" w:hAnsi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Entrepreneur</w:t>
            </w:r>
          </w:p>
          <w:p w14:paraId="47F85B36" w14:textId="77777777" w:rsidR="00FE6B08" w:rsidRPr="00132164" w:rsidRDefault="00FE6B08" w:rsidP="00FE6B0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(CN, SC, FM)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0C86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Administration</w:t>
            </w:r>
            <w:r w:rsidR="00132164"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132164"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gestion de marché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55B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Exécution</w:t>
            </w:r>
            <w:r w:rsidR="00132164" w:rsidRPr="0013216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proofErr w:type="gramStart"/>
            <w:r w:rsidRPr="00132164">
              <w:rPr>
                <w:rFonts w:ascii="Arial" w:hAnsi="Arial"/>
                <w:b/>
                <w:color w:val="000000"/>
                <w:sz w:val="16"/>
              </w:rPr>
              <w:t>/</w:t>
            </w:r>
            <w:r w:rsidR="00132164" w:rsidRPr="0013216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132164">
              <w:rPr>
                <w:rFonts w:ascii="Arial" w:hAnsi="Arial"/>
                <w:b/>
                <w:color w:val="000000"/>
                <w:sz w:val="16"/>
              </w:rPr>
              <w:t xml:space="preserve"> gestion</w:t>
            </w:r>
            <w:proofErr w:type="gramEnd"/>
            <w:r w:rsidRPr="00132164">
              <w:rPr>
                <w:rFonts w:ascii="Arial" w:hAnsi="Arial"/>
                <w:b/>
                <w:color w:val="000000"/>
                <w:sz w:val="16"/>
              </w:rPr>
              <w:t xml:space="preserve"> de projet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222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Qualité d’exécution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1688" w14:textId="77777777" w:rsidR="00C86791" w:rsidRPr="00132164" w:rsidRDefault="00FE6B08" w:rsidP="00FE6B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D</w:t>
            </w:r>
            <w:r w:rsidR="00C86791" w:rsidRPr="00132164">
              <w:rPr>
                <w:rFonts w:ascii="Arial" w:hAnsi="Arial"/>
                <w:b/>
                <w:color w:val="000000"/>
                <w:sz w:val="16"/>
              </w:rPr>
              <w:t>élais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33A1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Santé et sécurité</w:t>
            </w:r>
          </w:p>
        </w:tc>
      </w:tr>
      <w:tr w:rsidR="00C86791" w:rsidRPr="00132164" w14:paraId="44163F5F" w14:textId="77777777" w:rsidTr="00FE6B08">
        <w:trPr>
          <w:trHeight w:val="612"/>
        </w:trPr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57FC89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132164">
              <w:rPr>
                <w:rFonts w:ascii="Arial" w:hAnsi="Arial"/>
                <w:b/>
                <w:color w:val="000000"/>
                <w:sz w:val="17"/>
                <w:szCs w:val="17"/>
              </w:rPr>
              <w:t>Expert-conseil</w:t>
            </w:r>
          </w:p>
          <w:p w14:paraId="288012A0" w14:textId="77777777" w:rsidR="00C86791" w:rsidRPr="00132164" w:rsidRDefault="00FE6B08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/>
                <w:b/>
                <w:color w:val="000000"/>
                <w:sz w:val="17"/>
                <w:szCs w:val="17"/>
              </w:rPr>
              <w:t>(KN)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4B88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Administration</w:t>
            </w:r>
            <w:r w:rsidR="00132164"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132164"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3216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gestion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7E38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Contrôle des coûts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EDB5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Qualité du travail</w:t>
            </w:r>
            <w:r w:rsidR="00132164" w:rsidRPr="0013216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proofErr w:type="gramStart"/>
            <w:r w:rsidRPr="00132164">
              <w:rPr>
                <w:rFonts w:ascii="Arial" w:hAnsi="Arial"/>
                <w:b/>
                <w:color w:val="000000"/>
                <w:sz w:val="16"/>
              </w:rPr>
              <w:t>/</w:t>
            </w:r>
            <w:r w:rsidR="00132164" w:rsidRPr="0013216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132164">
              <w:rPr>
                <w:rFonts w:ascii="Arial" w:hAnsi="Arial"/>
                <w:b/>
                <w:color w:val="000000"/>
                <w:sz w:val="16"/>
              </w:rPr>
              <w:t xml:space="preserve"> conception</w:t>
            </w:r>
            <w:proofErr w:type="gramEnd"/>
            <w:r w:rsidR="00132164" w:rsidRPr="0013216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132164">
              <w:rPr>
                <w:rFonts w:ascii="Arial" w:hAnsi="Arial"/>
                <w:b/>
                <w:color w:val="000000"/>
                <w:sz w:val="16"/>
              </w:rPr>
              <w:t>/</w:t>
            </w:r>
            <w:r w:rsidR="00132164" w:rsidRPr="00132164"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r w:rsidRPr="00132164">
              <w:rPr>
                <w:rFonts w:ascii="Arial" w:hAnsi="Arial"/>
                <w:b/>
                <w:color w:val="000000"/>
                <w:sz w:val="16"/>
              </w:rPr>
              <w:t xml:space="preserve"> étude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F78C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Délais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7194" w14:textId="77777777" w:rsidR="00910F1C" w:rsidRPr="00132164" w:rsidRDefault="00C86791" w:rsidP="00910F1C">
            <w:pPr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 w:rsidRPr="00132164">
              <w:rPr>
                <w:rFonts w:ascii="Arial" w:hAnsi="Arial"/>
                <w:b/>
                <w:color w:val="000000"/>
                <w:sz w:val="16"/>
              </w:rPr>
              <w:t>Qualité des services de la phase de soumission et des services de la phase de construction/</w:t>
            </w:r>
          </w:p>
          <w:p w14:paraId="1DDD0BB1" w14:textId="77777777" w:rsidR="00C86791" w:rsidRPr="00132164" w:rsidRDefault="00C86791" w:rsidP="00910F1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32164">
              <w:rPr>
                <w:rFonts w:ascii="Arial" w:hAnsi="Arial"/>
                <w:b/>
                <w:color w:val="000000"/>
                <w:sz w:val="16"/>
              </w:rPr>
              <w:t>qualité</w:t>
            </w:r>
            <w:proofErr w:type="gramEnd"/>
            <w:r w:rsidRPr="00132164">
              <w:rPr>
                <w:rFonts w:ascii="Arial" w:hAnsi="Arial"/>
                <w:b/>
                <w:color w:val="000000"/>
                <w:sz w:val="16"/>
              </w:rPr>
              <w:t xml:space="preserve"> des résultats</w:t>
            </w:r>
          </w:p>
        </w:tc>
      </w:tr>
    </w:tbl>
    <w:p w14:paraId="2489F096" w14:textId="77777777" w:rsidR="007E30B9" w:rsidRPr="00132164" w:rsidRDefault="00DE5E35" w:rsidP="00013CF6">
      <w:pPr>
        <w:pStyle w:val="Heading1"/>
        <w:rPr>
          <w:b/>
          <w:sz w:val="21"/>
          <w:szCs w:val="21"/>
        </w:rPr>
      </w:pPr>
      <w:r w:rsidRPr="00132164">
        <w:rPr>
          <w:b/>
          <w:sz w:val="21"/>
        </w:rPr>
        <w:lastRenderedPageBreak/>
        <w:t>MESURES DÉCOULANT D</w:t>
      </w:r>
      <w:r w:rsidR="005F35B0" w:rsidRPr="00132164">
        <w:rPr>
          <w:b/>
          <w:sz w:val="21"/>
        </w:rPr>
        <w:t>’</w:t>
      </w:r>
      <w:r w:rsidRPr="00132164">
        <w:rPr>
          <w:b/>
          <w:sz w:val="21"/>
        </w:rPr>
        <w:t>UN RÉSULTAT « INACCEPTABLE » OU D</w:t>
      </w:r>
      <w:r w:rsidR="005F35B0" w:rsidRPr="00132164">
        <w:rPr>
          <w:b/>
          <w:sz w:val="21"/>
        </w:rPr>
        <w:t>’</w:t>
      </w:r>
      <w:r w:rsidRPr="00132164">
        <w:rPr>
          <w:b/>
          <w:sz w:val="21"/>
        </w:rPr>
        <w:t>UNE MENTION D</w:t>
      </w:r>
      <w:r w:rsidR="005F35B0" w:rsidRPr="00132164">
        <w:rPr>
          <w:b/>
          <w:sz w:val="21"/>
        </w:rPr>
        <w:t>’</w:t>
      </w:r>
      <w:r w:rsidRPr="00132164">
        <w:rPr>
          <w:b/>
          <w:sz w:val="21"/>
        </w:rPr>
        <w:t>ÉCHEC SUR UN FRERE</w:t>
      </w:r>
    </w:p>
    <w:p w14:paraId="5ADF727F" w14:textId="77777777" w:rsidR="00914C1D" w:rsidRPr="00132164" w:rsidRDefault="00914C1D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Un entrepreneur verra ses privilèges à soumissionner suspendus dans les cas suivants</w:t>
      </w:r>
      <w:r w:rsidR="00842981">
        <w:rPr>
          <w:rFonts w:ascii="Arial" w:hAnsi="Arial"/>
          <w:sz w:val="21"/>
        </w:rPr>
        <w:t> :</w:t>
      </w:r>
    </w:p>
    <w:p w14:paraId="49386154" w14:textId="77777777" w:rsidR="00C811A2" w:rsidRPr="00132164" w:rsidRDefault="00095D19" w:rsidP="00013CF6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proofErr w:type="gramStart"/>
      <w:r w:rsidRPr="00132164">
        <w:rPr>
          <w:rFonts w:ascii="Arial" w:hAnsi="Arial"/>
          <w:sz w:val="21"/>
        </w:rPr>
        <w:t>s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il</w:t>
      </w:r>
      <w:proofErr w:type="gramEnd"/>
      <w:r w:rsidRPr="00132164">
        <w:rPr>
          <w:rFonts w:ascii="Arial" w:hAnsi="Arial"/>
          <w:sz w:val="21"/>
        </w:rPr>
        <w:t xml:space="preserve"> obtient une note inférieure à </w:t>
      </w:r>
      <w:r w:rsidR="00842981">
        <w:rPr>
          <w:rFonts w:ascii="Arial" w:hAnsi="Arial"/>
          <w:sz w:val="21"/>
        </w:rPr>
        <w:t>30 </w:t>
      </w:r>
      <w:r w:rsidRPr="00132164">
        <w:rPr>
          <w:rFonts w:ascii="Arial" w:hAnsi="Arial"/>
          <w:sz w:val="21"/>
        </w:rPr>
        <w:t>% sur un FRERE définitif;</w:t>
      </w:r>
    </w:p>
    <w:p w14:paraId="12FAC2A3" w14:textId="77777777" w:rsidR="00095D19" w:rsidRPr="00132164" w:rsidRDefault="005C51DE" w:rsidP="00013CF6">
      <w:pPr>
        <w:pStyle w:val="PlainText"/>
        <w:numPr>
          <w:ilvl w:val="2"/>
          <w:numId w:val="2"/>
        </w:numPr>
        <w:tabs>
          <w:tab w:val="clear" w:pos="720"/>
          <w:tab w:val="num" w:pos="1620"/>
        </w:tabs>
        <w:spacing w:before="120" w:after="120"/>
        <w:ind w:left="1620"/>
        <w:rPr>
          <w:rFonts w:ascii="Arial" w:hAnsi="Arial" w:cs="Arial"/>
          <w:sz w:val="21"/>
          <w:szCs w:val="21"/>
        </w:rPr>
      </w:pPr>
      <w:proofErr w:type="gramStart"/>
      <w:r w:rsidRPr="00132164">
        <w:rPr>
          <w:rFonts w:ascii="Arial" w:hAnsi="Arial"/>
          <w:sz w:val="21"/>
        </w:rPr>
        <w:t>s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il</w:t>
      </w:r>
      <w:proofErr w:type="gramEnd"/>
      <w:r w:rsidRPr="00132164">
        <w:rPr>
          <w:rFonts w:ascii="Arial" w:hAnsi="Arial"/>
          <w:sz w:val="21"/>
        </w:rPr>
        <w:t xml:space="preserve"> obtient une note de 5 points ou moins pour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une ou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 xml:space="preserve">autre des catégories sur un FRERE définitif. </w:t>
      </w:r>
    </w:p>
    <w:p w14:paraId="3909A901" w14:textId="77777777" w:rsidR="00C41AE3" w:rsidRPr="00132164" w:rsidRDefault="001D0058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 xml:space="preserve">Une note inférieure à </w:t>
      </w:r>
      <w:r w:rsidR="00842981">
        <w:rPr>
          <w:rFonts w:ascii="Arial" w:hAnsi="Arial"/>
          <w:sz w:val="21"/>
        </w:rPr>
        <w:t>51 </w:t>
      </w:r>
      <w:r w:rsidRPr="00132164">
        <w:rPr>
          <w:rFonts w:ascii="Arial" w:hAnsi="Arial"/>
          <w:sz w:val="21"/>
        </w:rPr>
        <w:t>% obtenue sur un FRERE définitif entraîne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une ou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autre des conséquences suivantes</w:t>
      </w:r>
      <w:r w:rsidR="00842981">
        <w:rPr>
          <w:rFonts w:ascii="Arial" w:hAnsi="Arial"/>
          <w:sz w:val="21"/>
        </w:rPr>
        <w:t> :</w:t>
      </w:r>
    </w:p>
    <w:p w14:paraId="42A55146" w14:textId="77777777" w:rsidR="00C41AE3" w:rsidRPr="00132164" w:rsidRDefault="009055AB" w:rsidP="00013CF6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/>
        <w:ind w:left="1620"/>
        <w:rPr>
          <w:rFonts w:ascii="Arial" w:hAnsi="Arial" w:cs="Arial"/>
          <w:sz w:val="21"/>
          <w:szCs w:val="21"/>
        </w:rPr>
      </w:pPr>
      <w:proofErr w:type="gramStart"/>
      <w:r w:rsidRPr="00132164">
        <w:rPr>
          <w:rFonts w:ascii="Arial" w:hAnsi="Arial"/>
          <w:sz w:val="21"/>
        </w:rPr>
        <w:t>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émission</w:t>
      </w:r>
      <w:proofErr w:type="gramEnd"/>
      <w:r w:rsidRPr="00132164">
        <w:rPr>
          <w:rFonts w:ascii="Arial" w:hAnsi="Arial"/>
          <w:sz w:val="21"/>
        </w:rPr>
        <w:t xml:space="preserve">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 avertissement indiquant que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obtention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une autre note insatisfaisante entraînera la suspension des privilèges à soumissionner;</w:t>
      </w:r>
    </w:p>
    <w:p w14:paraId="5B2BAFF6" w14:textId="77777777" w:rsidR="00C41AE3" w:rsidRPr="00132164" w:rsidRDefault="00C811A2" w:rsidP="00013CF6">
      <w:pPr>
        <w:pStyle w:val="PlainText"/>
        <w:numPr>
          <w:ilvl w:val="2"/>
          <w:numId w:val="2"/>
        </w:numPr>
        <w:tabs>
          <w:tab w:val="clear" w:pos="720"/>
          <w:tab w:val="left" w:pos="1620"/>
        </w:tabs>
        <w:spacing w:before="120" w:after="120"/>
        <w:ind w:left="1620"/>
        <w:rPr>
          <w:rFonts w:ascii="Arial" w:hAnsi="Arial" w:cs="Arial"/>
          <w:sz w:val="21"/>
          <w:szCs w:val="21"/>
        </w:rPr>
      </w:pPr>
      <w:proofErr w:type="gramStart"/>
      <w:r w:rsidRPr="00132164">
        <w:rPr>
          <w:rFonts w:ascii="Arial" w:hAnsi="Arial"/>
          <w:sz w:val="21"/>
        </w:rPr>
        <w:t>la</w:t>
      </w:r>
      <w:proofErr w:type="gramEnd"/>
      <w:r w:rsidRPr="00132164">
        <w:rPr>
          <w:rFonts w:ascii="Arial" w:hAnsi="Arial"/>
          <w:sz w:val="21"/>
        </w:rPr>
        <w:t xml:space="preserve"> suspension des privilèges à soumissionner (à la suite de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obtention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 xml:space="preserve">une deuxième note inférieure à </w:t>
      </w:r>
      <w:r w:rsidR="00842981">
        <w:rPr>
          <w:rFonts w:ascii="Arial" w:hAnsi="Arial"/>
          <w:sz w:val="21"/>
        </w:rPr>
        <w:t>51 </w:t>
      </w:r>
      <w:r w:rsidRPr="00132164">
        <w:rPr>
          <w:rFonts w:ascii="Arial" w:hAnsi="Arial"/>
          <w:sz w:val="21"/>
        </w:rPr>
        <w:t>%).</w:t>
      </w:r>
    </w:p>
    <w:p w14:paraId="360A5FC9" w14:textId="77777777" w:rsidR="0046069F" w:rsidRPr="00132164" w:rsidRDefault="0046069F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La suspension des privilèges à soumissionner est signifiée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entreprise visée par voie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 avis écrit officiel envoyé par un cadre supérieur de CDC. Une lettre de « suspension » comprend des références précises aux catégories pour lesquelles le rendement a été insatisfaisant. Elle précise également la durée de la suspension ainsi que les exigences à respecter pour permettre le rétablissement des privilèges. Les suspensions peuvent se limiter à un délai précis ou être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une durée indéterminée</w:t>
      </w:r>
      <w:r w:rsidR="0059568D" w:rsidRPr="00132164">
        <w:rPr>
          <w:rFonts w:ascii="Arial" w:hAnsi="Arial"/>
          <w:sz w:val="21"/>
        </w:rPr>
        <w:t xml:space="preserve">. </w:t>
      </w:r>
      <w:r w:rsidRPr="00132164">
        <w:rPr>
          <w:rFonts w:ascii="Arial" w:hAnsi="Arial"/>
          <w:sz w:val="21"/>
        </w:rPr>
        <w:t>Les privilèges à soumissionner ne peuvent être rétablis que si la période de suspension a pris fin (s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il y a lieu) et que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entreprise a démontré qu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elle a satisfait aux exigences requises.</w:t>
      </w:r>
    </w:p>
    <w:p w14:paraId="47097FAE" w14:textId="77777777" w:rsidR="00A9689F" w:rsidRPr="00132164" w:rsidRDefault="00EC6F8D" w:rsidP="00013CF6">
      <w:pPr>
        <w:pStyle w:val="Heading1"/>
        <w:rPr>
          <w:b/>
        </w:rPr>
      </w:pPr>
      <w:r w:rsidRPr="00132164">
        <w:rPr>
          <w:b/>
        </w:rPr>
        <w:t>PROCESSUS D</w:t>
      </w:r>
      <w:r w:rsidR="005F35B0" w:rsidRPr="00132164">
        <w:rPr>
          <w:b/>
        </w:rPr>
        <w:t>’</w:t>
      </w:r>
      <w:r w:rsidRPr="00132164">
        <w:rPr>
          <w:b/>
        </w:rPr>
        <w:t>APPEL</w:t>
      </w:r>
    </w:p>
    <w:p w14:paraId="527411FF" w14:textId="77777777" w:rsidR="00C41AE3" w:rsidRPr="00132164" w:rsidRDefault="00C41AE3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Lorsqu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un appel relatif à une lettre de « suspension » est en cours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examen, la suspension des privilèges à soumissionner est maintenue.</w:t>
      </w:r>
    </w:p>
    <w:p w14:paraId="49E35108" w14:textId="77777777" w:rsidR="00013CF6" w:rsidRPr="00480302" w:rsidRDefault="00EA19DA" w:rsidP="00480302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appel doit être transmis par écrit</w:t>
      </w:r>
      <w:r w:rsidR="00480302">
        <w:rPr>
          <w:rFonts w:ascii="Arial" w:hAnsi="Arial"/>
          <w:sz w:val="21"/>
        </w:rPr>
        <w:t xml:space="preserve"> au chef national du secteur de</w:t>
      </w:r>
      <w:r w:rsidRPr="00132164">
        <w:rPr>
          <w:rFonts w:ascii="Arial" w:hAnsi="Arial"/>
          <w:sz w:val="21"/>
        </w:rPr>
        <w:t xml:space="preserve"> </w:t>
      </w:r>
      <w:r w:rsidR="00480302">
        <w:rPr>
          <w:rFonts w:ascii="Arial" w:hAnsi="Arial"/>
          <w:sz w:val="21"/>
        </w:rPr>
        <w:t>s</w:t>
      </w:r>
      <w:r w:rsidRPr="00132164">
        <w:rPr>
          <w:rFonts w:ascii="Arial" w:hAnsi="Arial"/>
          <w:sz w:val="21"/>
        </w:rPr>
        <w:t>ervices</w:t>
      </w:r>
      <w:r w:rsidR="00480302">
        <w:rPr>
          <w:rFonts w:ascii="Arial" w:hAnsi="Arial"/>
          <w:sz w:val="21"/>
        </w:rPr>
        <w:t xml:space="preserve"> (CNSS), services de gestion des marchés</w:t>
      </w:r>
      <w:r w:rsidRPr="00132164">
        <w:rPr>
          <w:rFonts w:ascii="Arial" w:hAnsi="Arial"/>
          <w:sz w:val="21"/>
        </w:rPr>
        <w:t>, et ce, dans les dix (10) jours ouvrables suivant la réception du FRERE insatisfaisant.</w:t>
      </w:r>
    </w:p>
    <w:p w14:paraId="30A8813D" w14:textId="77777777" w:rsidR="00D341AA" w:rsidRPr="00132164" w:rsidRDefault="00683314" w:rsidP="00013CF6">
      <w:pPr>
        <w:pStyle w:val="PlainText"/>
        <w:numPr>
          <w:ilvl w:val="1"/>
          <w:numId w:val="2"/>
        </w:numPr>
        <w:tabs>
          <w:tab w:val="clear" w:pos="360"/>
          <w:tab w:val="num" w:pos="900"/>
        </w:tabs>
        <w:spacing w:before="120" w:after="120"/>
        <w:ind w:left="900" w:hanging="540"/>
        <w:rPr>
          <w:rFonts w:ascii="Arial" w:hAnsi="Arial" w:cs="Arial"/>
          <w:sz w:val="21"/>
          <w:szCs w:val="21"/>
        </w:rPr>
      </w:pPr>
      <w:r w:rsidRPr="00132164">
        <w:rPr>
          <w:rFonts w:ascii="Arial" w:hAnsi="Arial"/>
          <w:sz w:val="21"/>
        </w:rPr>
        <w:t>Le CNSS examine ensuite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appel et, au besoin, il peut demander des renseignements supplémentaires à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entreprise</w:t>
      </w:r>
      <w:r w:rsidR="0059568D" w:rsidRPr="00132164">
        <w:rPr>
          <w:rFonts w:ascii="Arial" w:hAnsi="Arial"/>
          <w:sz w:val="21"/>
        </w:rPr>
        <w:t xml:space="preserve">. </w:t>
      </w:r>
      <w:r w:rsidRPr="00132164">
        <w:rPr>
          <w:rFonts w:ascii="Arial" w:hAnsi="Arial"/>
          <w:sz w:val="21"/>
        </w:rPr>
        <w:t>À la suite de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examen, s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il y a lieu, le CNSS avise l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>entreprise, par écrit, de toute correction qui sera apportée au FRERE</w:t>
      </w:r>
      <w:r w:rsidR="0059568D" w:rsidRPr="00132164">
        <w:rPr>
          <w:rFonts w:ascii="Arial" w:hAnsi="Arial"/>
          <w:sz w:val="21"/>
        </w:rPr>
        <w:t xml:space="preserve">. </w:t>
      </w:r>
      <w:r w:rsidRPr="00132164">
        <w:rPr>
          <w:rFonts w:ascii="Arial" w:hAnsi="Arial"/>
          <w:sz w:val="21"/>
        </w:rPr>
        <w:t>Aucun autre appel visant la correction d</w:t>
      </w:r>
      <w:r w:rsidR="005F35B0" w:rsidRPr="00132164">
        <w:rPr>
          <w:rFonts w:ascii="Arial" w:hAnsi="Arial"/>
          <w:sz w:val="21"/>
        </w:rPr>
        <w:t>’</w:t>
      </w:r>
      <w:r w:rsidRPr="00132164">
        <w:rPr>
          <w:rFonts w:ascii="Arial" w:hAnsi="Arial"/>
          <w:sz w:val="21"/>
        </w:rPr>
        <w:t xml:space="preserve">un FRERE ne sera examiné. </w:t>
      </w:r>
    </w:p>
    <w:sectPr w:rsidR="00D341AA" w:rsidRPr="00132164" w:rsidSect="00A63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990" w:left="1440" w:header="720" w:footer="3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118D" w14:textId="77777777" w:rsidR="00160033" w:rsidRDefault="00160033">
      <w:r>
        <w:separator/>
      </w:r>
    </w:p>
  </w:endnote>
  <w:endnote w:type="continuationSeparator" w:id="0">
    <w:p w14:paraId="0C3A1147" w14:textId="77777777" w:rsidR="00160033" w:rsidRDefault="0016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50E09" w14:textId="77777777" w:rsidR="003358C8" w:rsidRDefault="00335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943A" w14:textId="77777777" w:rsidR="00FE6B08" w:rsidRDefault="00FE6B08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622D15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de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NUMPAGES </w:instrText>
    </w:r>
    <w:r>
      <w:rPr>
        <w:rStyle w:val="PageNumber"/>
        <w:rFonts w:ascii="Arial" w:hAnsi="Arial"/>
        <w:sz w:val="20"/>
      </w:rPr>
      <w:fldChar w:fldCharType="separate"/>
    </w:r>
    <w:r w:rsidR="00622D15">
      <w:rPr>
        <w:rStyle w:val="PageNumber"/>
        <w:rFonts w:ascii="Arial" w:hAnsi="Arial"/>
        <w:noProof/>
        <w:sz w:val="20"/>
      </w:rPr>
      <w:t>1</w:t>
    </w:r>
    <w:r>
      <w:rPr>
        <w:rStyle w:val="PageNumber"/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93429" w14:textId="77777777" w:rsidR="003358C8" w:rsidRDefault="00335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2D920" w14:textId="77777777" w:rsidR="00160033" w:rsidRDefault="00160033">
      <w:r>
        <w:separator/>
      </w:r>
    </w:p>
  </w:footnote>
  <w:footnote w:type="continuationSeparator" w:id="0">
    <w:p w14:paraId="7ED1289B" w14:textId="77777777" w:rsidR="00160033" w:rsidRDefault="00160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E5DA" w14:textId="77777777" w:rsidR="003358C8" w:rsidRDefault="003358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2CD7" w14:textId="77777777" w:rsidR="00FE6B08" w:rsidRPr="003358C8" w:rsidRDefault="003358C8">
    <w:pPr>
      <w:pStyle w:val="PlainText"/>
      <w:spacing w:before="120"/>
      <w:jc w:val="right"/>
      <w:rPr>
        <w:rFonts w:ascii="Arial" w:hAnsi="Arial" w:cs="Arial"/>
        <w:szCs w:val="18"/>
      </w:rPr>
    </w:pPr>
    <w:r w:rsidRPr="003358C8">
      <w:rPr>
        <w:noProof/>
        <w:sz w:val="18"/>
        <w:szCs w:val="18"/>
      </w:rPr>
      <w:pict w14:anchorId="08025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.05pt;margin-top:3.05pt;width:160.45pt;height:31pt;z-index:251658752">
          <v:imagedata r:id="rId1" o:title=""/>
          <w10:wrap type="square"/>
        </v:shape>
      </w:pict>
    </w:r>
    <w:r w:rsidR="0061516E" w:rsidRPr="003358C8">
      <w:rPr>
        <w:noProof/>
        <w:sz w:val="18"/>
        <w:szCs w:val="18"/>
      </w:rPr>
      <w:pict w14:anchorId="5DEBB0B6">
        <v:line id="Line 5" o:spid="_x0000_s2050" style="position:absolute;left:0;text-align:left;z-index:251656704;visibility:visible" from="4.05pt,.2pt" to="472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x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"/>
      </w:pict>
    </w:r>
    <w:r w:rsidR="00FE6B08" w:rsidRPr="003358C8">
      <w:rPr>
        <w:rFonts w:ascii="Arial" w:hAnsi="Arial"/>
        <w:szCs w:val="18"/>
      </w:rPr>
      <w:t>CDL81 (R2016-05)</w:t>
    </w:r>
  </w:p>
  <w:p w14:paraId="3F11F658" w14:textId="77777777" w:rsidR="00FE6B08" w:rsidRPr="003358C8" w:rsidRDefault="00FE6B08" w:rsidP="007E2E44">
    <w:pPr>
      <w:pStyle w:val="PlainText"/>
      <w:rPr>
        <w:rFonts w:ascii="Arial" w:hAnsi="Arial" w:cs="Arial"/>
        <w:szCs w:val="18"/>
      </w:rPr>
    </w:pPr>
  </w:p>
  <w:p w14:paraId="2F245753" w14:textId="77777777" w:rsidR="00FE6B08" w:rsidRDefault="0061516E">
    <w:r>
      <w:rPr>
        <w:noProof/>
      </w:rPr>
      <w:pict w14:anchorId="35E73186">
        <v:line id="Line 7" o:spid="_x0000_s2049" style="position:absolute;z-index:251657728;visibility:visible" from="4.05pt,5.2pt" to="472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"/>
      </w:pict>
    </w:r>
  </w:p>
  <w:p w14:paraId="2036DE53" w14:textId="77777777" w:rsidR="00FE6B08" w:rsidRDefault="00FE6B08">
    <w:pPr>
      <w:pStyle w:val="Header"/>
      <w:spacing w:after="240"/>
      <w:jc w:val="center"/>
      <w:rPr>
        <w:rFonts w:ascii="Arial" w:hAnsi="Arial" w:cs="Arial"/>
        <w:b/>
        <w:bCs/>
        <w:sz w:val="22"/>
      </w:rPr>
    </w:pPr>
    <w:r>
      <w:rPr>
        <w:rFonts w:ascii="Arial" w:hAnsi="Arial"/>
        <w:b/>
        <w:sz w:val="22"/>
      </w:rPr>
      <w:t>LIGNES DIRECTRICES SUR L’ÉVALUATION DU RENDEMENT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F74F" w14:textId="77777777" w:rsidR="003358C8" w:rsidRDefault="003358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7147E"/>
    <w:multiLevelType w:val="multilevel"/>
    <w:tmpl w:val="55EA5B9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6EC4633"/>
    <w:multiLevelType w:val="hybridMultilevel"/>
    <w:tmpl w:val="64EE58AE"/>
    <w:lvl w:ilvl="0" w:tplc="78329734">
      <w:start w:val="6"/>
      <w:numFmt w:val="none"/>
      <w:pStyle w:val="Heading4"/>
      <w:lvlText w:val="6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6F1512"/>
    <w:multiLevelType w:val="multilevel"/>
    <w:tmpl w:val="2258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4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E44"/>
    <w:rsid w:val="000022D4"/>
    <w:rsid w:val="00013CF6"/>
    <w:rsid w:val="00017135"/>
    <w:rsid w:val="00030EF9"/>
    <w:rsid w:val="00033FE4"/>
    <w:rsid w:val="0003402F"/>
    <w:rsid w:val="00037269"/>
    <w:rsid w:val="000514D3"/>
    <w:rsid w:val="00053818"/>
    <w:rsid w:val="000621A8"/>
    <w:rsid w:val="000707F7"/>
    <w:rsid w:val="000875F5"/>
    <w:rsid w:val="000907B5"/>
    <w:rsid w:val="00095D19"/>
    <w:rsid w:val="000A3689"/>
    <w:rsid w:val="000A36EE"/>
    <w:rsid w:val="000B05EA"/>
    <w:rsid w:val="000C2CF0"/>
    <w:rsid w:val="000C7CC0"/>
    <w:rsid w:val="000F225F"/>
    <w:rsid w:val="000F22BF"/>
    <w:rsid w:val="000F5707"/>
    <w:rsid w:val="001007DC"/>
    <w:rsid w:val="001024DF"/>
    <w:rsid w:val="001147B3"/>
    <w:rsid w:val="00130032"/>
    <w:rsid w:val="0013154B"/>
    <w:rsid w:val="00132164"/>
    <w:rsid w:val="00136193"/>
    <w:rsid w:val="00136C85"/>
    <w:rsid w:val="00136F26"/>
    <w:rsid w:val="00142B17"/>
    <w:rsid w:val="001434D9"/>
    <w:rsid w:val="00155702"/>
    <w:rsid w:val="00160033"/>
    <w:rsid w:val="00161019"/>
    <w:rsid w:val="001622CD"/>
    <w:rsid w:val="0017607F"/>
    <w:rsid w:val="00177935"/>
    <w:rsid w:val="00184C2B"/>
    <w:rsid w:val="001855E8"/>
    <w:rsid w:val="00193595"/>
    <w:rsid w:val="00195154"/>
    <w:rsid w:val="00195D9A"/>
    <w:rsid w:val="001A0242"/>
    <w:rsid w:val="001A0639"/>
    <w:rsid w:val="001A484E"/>
    <w:rsid w:val="001B0359"/>
    <w:rsid w:val="001C475B"/>
    <w:rsid w:val="001C4A2F"/>
    <w:rsid w:val="001C50E2"/>
    <w:rsid w:val="001D0058"/>
    <w:rsid w:val="001D24AB"/>
    <w:rsid w:val="001E024B"/>
    <w:rsid w:val="001E5FBD"/>
    <w:rsid w:val="001E6453"/>
    <w:rsid w:val="00212B17"/>
    <w:rsid w:val="002173F5"/>
    <w:rsid w:val="00226CC0"/>
    <w:rsid w:val="00231963"/>
    <w:rsid w:val="0024064E"/>
    <w:rsid w:val="00242D05"/>
    <w:rsid w:val="00243EE6"/>
    <w:rsid w:val="00244B7E"/>
    <w:rsid w:val="00250412"/>
    <w:rsid w:val="002679E1"/>
    <w:rsid w:val="002809B3"/>
    <w:rsid w:val="002843FD"/>
    <w:rsid w:val="00284AAD"/>
    <w:rsid w:val="00287486"/>
    <w:rsid w:val="002878AC"/>
    <w:rsid w:val="00295334"/>
    <w:rsid w:val="002A449D"/>
    <w:rsid w:val="002C165F"/>
    <w:rsid w:val="002C6AF7"/>
    <w:rsid w:val="002D680C"/>
    <w:rsid w:val="00313EDC"/>
    <w:rsid w:val="00315DAE"/>
    <w:rsid w:val="00325266"/>
    <w:rsid w:val="00326CC8"/>
    <w:rsid w:val="003317EA"/>
    <w:rsid w:val="003358C8"/>
    <w:rsid w:val="00343B6E"/>
    <w:rsid w:val="00354ABE"/>
    <w:rsid w:val="003A54FD"/>
    <w:rsid w:val="003B138B"/>
    <w:rsid w:val="003B681E"/>
    <w:rsid w:val="003D4EDE"/>
    <w:rsid w:val="003D5EB0"/>
    <w:rsid w:val="003F2925"/>
    <w:rsid w:val="003F33CB"/>
    <w:rsid w:val="003F54D4"/>
    <w:rsid w:val="004032EE"/>
    <w:rsid w:val="00412AFF"/>
    <w:rsid w:val="00421946"/>
    <w:rsid w:val="004223C8"/>
    <w:rsid w:val="004223D4"/>
    <w:rsid w:val="004245DB"/>
    <w:rsid w:val="00424EBD"/>
    <w:rsid w:val="00430783"/>
    <w:rsid w:val="00454F83"/>
    <w:rsid w:val="0046069F"/>
    <w:rsid w:val="004673D4"/>
    <w:rsid w:val="00480302"/>
    <w:rsid w:val="0048319E"/>
    <w:rsid w:val="004918EC"/>
    <w:rsid w:val="00496A24"/>
    <w:rsid w:val="004C61CD"/>
    <w:rsid w:val="004E2422"/>
    <w:rsid w:val="004E36A7"/>
    <w:rsid w:val="00507B5E"/>
    <w:rsid w:val="005103A7"/>
    <w:rsid w:val="005131BA"/>
    <w:rsid w:val="00540460"/>
    <w:rsid w:val="00546A31"/>
    <w:rsid w:val="005503B9"/>
    <w:rsid w:val="00581CB8"/>
    <w:rsid w:val="0059568D"/>
    <w:rsid w:val="005B642B"/>
    <w:rsid w:val="005C113F"/>
    <w:rsid w:val="005C51DE"/>
    <w:rsid w:val="005D0760"/>
    <w:rsid w:val="005E18C9"/>
    <w:rsid w:val="005F35B0"/>
    <w:rsid w:val="005F5832"/>
    <w:rsid w:val="00610414"/>
    <w:rsid w:val="0061516E"/>
    <w:rsid w:val="00616290"/>
    <w:rsid w:val="00616885"/>
    <w:rsid w:val="00622D15"/>
    <w:rsid w:val="0062795C"/>
    <w:rsid w:val="00631E98"/>
    <w:rsid w:val="006419AD"/>
    <w:rsid w:val="006549AE"/>
    <w:rsid w:val="006567B7"/>
    <w:rsid w:val="00657D22"/>
    <w:rsid w:val="00665CBC"/>
    <w:rsid w:val="0067206D"/>
    <w:rsid w:val="00680EED"/>
    <w:rsid w:val="00683314"/>
    <w:rsid w:val="00686900"/>
    <w:rsid w:val="00686E9C"/>
    <w:rsid w:val="00687965"/>
    <w:rsid w:val="006918D0"/>
    <w:rsid w:val="006B2936"/>
    <w:rsid w:val="006D0AA0"/>
    <w:rsid w:val="0070040C"/>
    <w:rsid w:val="007070BA"/>
    <w:rsid w:val="00714CCE"/>
    <w:rsid w:val="007173B8"/>
    <w:rsid w:val="007205F7"/>
    <w:rsid w:val="00731A14"/>
    <w:rsid w:val="007330D0"/>
    <w:rsid w:val="00735D0C"/>
    <w:rsid w:val="00736A26"/>
    <w:rsid w:val="007444FB"/>
    <w:rsid w:val="00745BBF"/>
    <w:rsid w:val="00757689"/>
    <w:rsid w:val="0077216E"/>
    <w:rsid w:val="00775339"/>
    <w:rsid w:val="00790D63"/>
    <w:rsid w:val="00792E11"/>
    <w:rsid w:val="007B178D"/>
    <w:rsid w:val="007B6A62"/>
    <w:rsid w:val="007C7C9A"/>
    <w:rsid w:val="007D0DD8"/>
    <w:rsid w:val="007E2E44"/>
    <w:rsid w:val="007E30B9"/>
    <w:rsid w:val="00806F2F"/>
    <w:rsid w:val="00811BF5"/>
    <w:rsid w:val="008273D9"/>
    <w:rsid w:val="008326A1"/>
    <w:rsid w:val="00834A2A"/>
    <w:rsid w:val="00836008"/>
    <w:rsid w:val="00842981"/>
    <w:rsid w:val="00846274"/>
    <w:rsid w:val="0087194A"/>
    <w:rsid w:val="00873325"/>
    <w:rsid w:val="00886342"/>
    <w:rsid w:val="00891759"/>
    <w:rsid w:val="00894362"/>
    <w:rsid w:val="008A1F58"/>
    <w:rsid w:val="008A3244"/>
    <w:rsid w:val="008B1741"/>
    <w:rsid w:val="008B48F3"/>
    <w:rsid w:val="008B6C8F"/>
    <w:rsid w:val="008B738C"/>
    <w:rsid w:val="008C5152"/>
    <w:rsid w:val="008D127C"/>
    <w:rsid w:val="008D303D"/>
    <w:rsid w:val="008D73DF"/>
    <w:rsid w:val="008E7010"/>
    <w:rsid w:val="0090335A"/>
    <w:rsid w:val="009055AB"/>
    <w:rsid w:val="00906EB8"/>
    <w:rsid w:val="00910F1C"/>
    <w:rsid w:val="00914C1D"/>
    <w:rsid w:val="00916B9A"/>
    <w:rsid w:val="009229B2"/>
    <w:rsid w:val="00925901"/>
    <w:rsid w:val="00926FAB"/>
    <w:rsid w:val="00930BF2"/>
    <w:rsid w:val="00940574"/>
    <w:rsid w:val="00943ADE"/>
    <w:rsid w:val="0094756E"/>
    <w:rsid w:val="009534FA"/>
    <w:rsid w:val="00965907"/>
    <w:rsid w:val="009806BA"/>
    <w:rsid w:val="00981C48"/>
    <w:rsid w:val="009A7B08"/>
    <w:rsid w:val="009B1F59"/>
    <w:rsid w:val="009E2965"/>
    <w:rsid w:val="009E6AB2"/>
    <w:rsid w:val="009E7886"/>
    <w:rsid w:val="009F27C5"/>
    <w:rsid w:val="009F49B5"/>
    <w:rsid w:val="009F7133"/>
    <w:rsid w:val="00A11F9F"/>
    <w:rsid w:val="00A21F00"/>
    <w:rsid w:val="00A262F0"/>
    <w:rsid w:val="00A34F1F"/>
    <w:rsid w:val="00A45DC3"/>
    <w:rsid w:val="00A54186"/>
    <w:rsid w:val="00A55912"/>
    <w:rsid w:val="00A63386"/>
    <w:rsid w:val="00A7706F"/>
    <w:rsid w:val="00A86213"/>
    <w:rsid w:val="00A87752"/>
    <w:rsid w:val="00A9689F"/>
    <w:rsid w:val="00AA05DD"/>
    <w:rsid w:val="00AB0FBA"/>
    <w:rsid w:val="00AD05EB"/>
    <w:rsid w:val="00AD3FA4"/>
    <w:rsid w:val="00AE26EE"/>
    <w:rsid w:val="00AF5F7A"/>
    <w:rsid w:val="00B14F7B"/>
    <w:rsid w:val="00B2657B"/>
    <w:rsid w:val="00B46F67"/>
    <w:rsid w:val="00B56771"/>
    <w:rsid w:val="00B803ED"/>
    <w:rsid w:val="00B806B3"/>
    <w:rsid w:val="00B86AC0"/>
    <w:rsid w:val="00B87285"/>
    <w:rsid w:val="00B9128F"/>
    <w:rsid w:val="00B945F6"/>
    <w:rsid w:val="00B95BBC"/>
    <w:rsid w:val="00BA6107"/>
    <w:rsid w:val="00BB4B8A"/>
    <w:rsid w:val="00BC2B49"/>
    <w:rsid w:val="00BC48DD"/>
    <w:rsid w:val="00BD1233"/>
    <w:rsid w:val="00BD3FBB"/>
    <w:rsid w:val="00BF3543"/>
    <w:rsid w:val="00BF4A99"/>
    <w:rsid w:val="00BF4C68"/>
    <w:rsid w:val="00BF4CD0"/>
    <w:rsid w:val="00C013B5"/>
    <w:rsid w:val="00C03831"/>
    <w:rsid w:val="00C0542E"/>
    <w:rsid w:val="00C07B2A"/>
    <w:rsid w:val="00C41AE3"/>
    <w:rsid w:val="00C43A9B"/>
    <w:rsid w:val="00C531E4"/>
    <w:rsid w:val="00C77E5B"/>
    <w:rsid w:val="00C811A2"/>
    <w:rsid w:val="00C85D10"/>
    <w:rsid w:val="00C86791"/>
    <w:rsid w:val="00C87F79"/>
    <w:rsid w:val="00C917AE"/>
    <w:rsid w:val="00C9200B"/>
    <w:rsid w:val="00C9586F"/>
    <w:rsid w:val="00CA666B"/>
    <w:rsid w:val="00CB244A"/>
    <w:rsid w:val="00CC006E"/>
    <w:rsid w:val="00CC03C1"/>
    <w:rsid w:val="00CD0FFA"/>
    <w:rsid w:val="00CD7A08"/>
    <w:rsid w:val="00CE2048"/>
    <w:rsid w:val="00CF112F"/>
    <w:rsid w:val="00CF2F32"/>
    <w:rsid w:val="00CF4525"/>
    <w:rsid w:val="00D011DD"/>
    <w:rsid w:val="00D01573"/>
    <w:rsid w:val="00D03D99"/>
    <w:rsid w:val="00D06487"/>
    <w:rsid w:val="00D13BFB"/>
    <w:rsid w:val="00D1528F"/>
    <w:rsid w:val="00D159CF"/>
    <w:rsid w:val="00D27EED"/>
    <w:rsid w:val="00D32F5D"/>
    <w:rsid w:val="00D341AA"/>
    <w:rsid w:val="00D37593"/>
    <w:rsid w:val="00D44F75"/>
    <w:rsid w:val="00D64D3A"/>
    <w:rsid w:val="00D67D56"/>
    <w:rsid w:val="00D76D65"/>
    <w:rsid w:val="00D923A0"/>
    <w:rsid w:val="00DB356D"/>
    <w:rsid w:val="00DC2A4C"/>
    <w:rsid w:val="00DD02C5"/>
    <w:rsid w:val="00DE5E35"/>
    <w:rsid w:val="00DE7EDC"/>
    <w:rsid w:val="00E07E5F"/>
    <w:rsid w:val="00E111BB"/>
    <w:rsid w:val="00E11D0A"/>
    <w:rsid w:val="00E12B46"/>
    <w:rsid w:val="00E178E9"/>
    <w:rsid w:val="00E30D16"/>
    <w:rsid w:val="00E326CC"/>
    <w:rsid w:val="00E445A8"/>
    <w:rsid w:val="00E461A1"/>
    <w:rsid w:val="00E5135A"/>
    <w:rsid w:val="00E702B7"/>
    <w:rsid w:val="00E935F4"/>
    <w:rsid w:val="00E943C1"/>
    <w:rsid w:val="00EA19DA"/>
    <w:rsid w:val="00EC1D37"/>
    <w:rsid w:val="00EC1F2D"/>
    <w:rsid w:val="00EC6F8D"/>
    <w:rsid w:val="00EE54B6"/>
    <w:rsid w:val="00F008A0"/>
    <w:rsid w:val="00F00BFB"/>
    <w:rsid w:val="00F21D87"/>
    <w:rsid w:val="00F23609"/>
    <w:rsid w:val="00F36E4D"/>
    <w:rsid w:val="00F40ACA"/>
    <w:rsid w:val="00F45B4A"/>
    <w:rsid w:val="00F461EA"/>
    <w:rsid w:val="00F511B9"/>
    <w:rsid w:val="00F637C5"/>
    <w:rsid w:val="00F67754"/>
    <w:rsid w:val="00F759F6"/>
    <w:rsid w:val="00F8192D"/>
    <w:rsid w:val="00F84D17"/>
    <w:rsid w:val="00FA0BF3"/>
    <w:rsid w:val="00FB5D9A"/>
    <w:rsid w:val="00FC2991"/>
    <w:rsid w:val="00FE272B"/>
    <w:rsid w:val="00FE534F"/>
    <w:rsid w:val="00FE6B08"/>
    <w:rsid w:val="00FF0AB0"/>
    <w:rsid w:val="00FF3FD3"/>
    <w:rsid w:val="00FF6F7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0C4440"/>
  <w15:chartTrackingRefBased/>
  <w15:docId w15:val="{016F3A24-9CF9-4C78-8018-37E10677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356D"/>
    <w:rPr>
      <w:sz w:val="24"/>
      <w:lang w:val="fr-CA" w:eastAsia="fr-CA" w:bidi="fr-CA"/>
    </w:rPr>
  </w:style>
  <w:style w:type="paragraph" w:styleId="Heading1">
    <w:name w:val="heading 1"/>
    <w:basedOn w:val="Normal"/>
    <w:next w:val="Normal"/>
    <w:qFormat/>
    <w:rsid w:val="00DB356D"/>
    <w:pPr>
      <w:keepNext/>
      <w:numPr>
        <w:numId w:val="2"/>
      </w:numPr>
      <w:tabs>
        <w:tab w:val="right" w:pos="9356"/>
      </w:tabs>
      <w:spacing w:before="120" w:after="120"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rsid w:val="00DB356D"/>
    <w:pPr>
      <w:keepNext/>
      <w:outlineLvl w:val="1"/>
    </w:pPr>
    <w:rPr>
      <w:rFonts w:ascii="Arial" w:hAnsi="Arial" w:cs="Arial"/>
      <w:sz w:val="22"/>
      <w:szCs w:val="24"/>
      <w:u w:val="single"/>
    </w:rPr>
  </w:style>
  <w:style w:type="paragraph" w:styleId="Heading3">
    <w:name w:val="heading 3"/>
    <w:basedOn w:val="Normal"/>
    <w:next w:val="Normal"/>
    <w:qFormat/>
    <w:rsid w:val="00DB356D"/>
    <w:pPr>
      <w:keepNext/>
      <w:tabs>
        <w:tab w:val="left" w:pos="-576"/>
        <w:tab w:val="left" w:pos="10080"/>
        <w:tab w:val="left" w:pos="10800"/>
        <w:tab w:val="left" w:pos="11520"/>
        <w:tab w:val="left" w:pos="12240"/>
      </w:tabs>
      <w:ind w:left="709" w:hanging="709"/>
      <w:outlineLvl w:val="2"/>
    </w:pPr>
    <w:rPr>
      <w:rFonts w:ascii="Arial" w:hAnsi="Arial" w:cs="Arial"/>
      <w:sz w:val="22"/>
      <w:szCs w:val="24"/>
      <w:u w:val="single"/>
    </w:rPr>
  </w:style>
  <w:style w:type="paragraph" w:styleId="Heading4">
    <w:name w:val="heading 4"/>
    <w:basedOn w:val="Normal"/>
    <w:next w:val="Normal"/>
    <w:qFormat/>
    <w:rsid w:val="00DB356D"/>
    <w:pPr>
      <w:keepNext/>
      <w:numPr>
        <w:numId w:val="1"/>
      </w:numPr>
      <w:tabs>
        <w:tab w:val="clear" w:pos="1440"/>
      </w:tabs>
      <w:ind w:left="810" w:hanging="810"/>
      <w:outlineLvl w:val="3"/>
    </w:pPr>
    <w:rPr>
      <w:rFonts w:ascii="Arial" w:hAnsi="Arial" w:cs="Arial"/>
      <w:sz w:val="22"/>
      <w:szCs w:val="24"/>
      <w:u w:val="single"/>
    </w:rPr>
  </w:style>
  <w:style w:type="paragraph" w:styleId="Heading5">
    <w:name w:val="heading 5"/>
    <w:basedOn w:val="Normal"/>
    <w:next w:val="Normal"/>
    <w:qFormat/>
    <w:rsid w:val="00DB356D"/>
    <w:pPr>
      <w:keepNext/>
      <w:spacing w:before="60" w:after="60"/>
      <w:outlineLvl w:val="4"/>
    </w:pPr>
    <w:rPr>
      <w:rFonts w:ascii="Arial" w:hAnsi="Arial" w:cs="Arial"/>
      <w:b/>
      <w:bCs/>
      <w:sz w:val="22"/>
      <w:szCs w:val="28"/>
    </w:rPr>
  </w:style>
  <w:style w:type="paragraph" w:styleId="Heading6">
    <w:name w:val="heading 6"/>
    <w:basedOn w:val="Normal"/>
    <w:next w:val="Normal"/>
    <w:qFormat/>
    <w:rsid w:val="00DB356D"/>
    <w:pPr>
      <w:keepNext/>
      <w:spacing w:before="60" w:after="6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DB356D"/>
    <w:pPr>
      <w:keepNext/>
      <w:spacing w:before="60" w:after="60"/>
      <w:outlineLvl w:val="6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356D"/>
    <w:pPr>
      <w:tabs>
        <w:tab w:val="center" w:pos="4320"/>
        <w:tab w:val="right" w:pos="8640"/>
      </w:tabs>
    </w:pPr>
    <w:rPr>
      <w:lang w:val="x-none" w:bidi="ar-SA"/>
    </w:rPr>
  </w:style>
  <w:style w:type="paragraph" w:styleId="Footer">
    <w:name w:val="footer"/>
    <w:basedOn w:val="Normal"/>
    <w:rsid w:val="00DB35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356D"/>
  </w:style>
  <w:style w:type="paragraph" w:styleId="BodyTextIndent">
    <w:name w:val="Body Text Indent"/>
    <w:basedOn w:val="Normal"/>
    <w:rsid w:val="00DB356D"/>
    <w:pPr>
      <w:ind w:left="426"/>
    </w:pPr>
    <w:rPr>
      <w:rFonts w:ascii="Times New" w:hAnsi="Times New"/>
      <w:sz w:val="20"/>
      <w:szCs w:val="24"/>
    </w:rPr>
  </w:style>
  <w:style w:type="paragraph" w:styleId="BodyTextIndent2">
    <w:name w:val="Body Text Indent 2"/>
    <w:basedOn w:val="Normal"/>
    <w:rsid w:val="00DB356D"/>
    <w:pPr>
      <w:tabs>
        <w:tab w:val="left" w:pos="-576"/>
        <w:tab w:val="left" w:pos="0"/>
        <w:tab w:val="left" w:pos="504"/>
        <w:tab w:val="left" w:pos="1044"/>
        <w:tab w:val="left" w:pos="2484"/>
        <w:tab w:val="left" w:pos="320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1044" w:hanging="618"/>
    </w:pPr>
    <w:rPr>
      <w:rFonts w:ascii="Times New" w:hAnsi="Times New"/>
      <w:sz w:val="20"/>
      <w:szCs w:val="24"/>
    </w:rPr>
  </w:style>
  <w:style w:type="paragraph" w:styleId="BodyTextIndent3">
    <w:name w:val="Body Text Indent 3"/>
    <w:basedOn w:val="Normal"/>
    <w:rsid w:val="00DB356D"/>
    <w:pPr>
      <w:tabs>
        <w:tab w:val="left" w:pos="-576"/>
        <w:tab w:val="left" w:pos="0"/>
        <w:tab w:val="left" w:pos="720"/>
        <w:tab w:val="left" w:pos="1134"/>
        <w:tab w:val="left" w:pos="1584"/>
        <w:tab w:val="left" w:pos="3294"/>
        <w:tab w:val="left" w:pos="383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1134" w:hanging="283"/>
    </w:pPr>
    <w:rPr>
      <w:rFonts w:ascii="Times New" w:hAnsi="Times New"/>
      <w:sz w:val="20"/>
      <w:szCs w:val="24"/>
    </w:rPr>
  </w:style>
  <w:style w:type="paragraph" w:styleId="BodyText">
    <w:name w:val="Body Text"/>
    <w:basedOn w:val="Normal"/>
    <w:rsid w:val="00DB356D"/>
    <w:pPr>
      <w:spacing w:before="120"/>
    </w:pPr>
    <w:rPr>
      <w:rFonts w:ascii="Arial" w:hAnsi="Arial" w:cs="Arial"/>
      <w:sz w:val="22"/>
      <w:szCs w:val="24"/>
    </w:rPr>
  </w:style>
  <w:style w:type="paragraph" w:styleId="PlainText">
    <w:name w:val="Plain Text"/>
    <w:basedOn w:val="Normal"/>
    <w:rsid w:val="00DB356D"/>
    <w:rPr>
      <w:rFonts w:ascii="Courier New" w:hAnsi="Courier New"/>
      <w:sz w:val="20"/>
    </w:rPr>
  </w:style>
  <w:style w:type="character" w:styleId="Hyperlink">
    <w:name w:val="Hyperlink"/>
    <w:rsid w:val="00DB356D"/>
    <w:rPr>
      <w:color w:val="0000FF"/>
      <w:u w:val="single"/>
    </w:rPr>
  </w:style>
  <w:style w:type="character" w:styleId="FollowedHyperlink">
    <w:name w:val="FollowedHyperlink"/>
    <w:rsid w:val="00DB356D"/>
    <w:rPr>
      <w:color w:val="800080"/>
      <w:u w:val="single"/>
    </w:rPr>
  </w:style>
  <w:style w:type="paragraph" w:customStyle="1" w:styleId="4Document">
    <w:name w:val="4Document"/>
    <w:rsid w:val="00DB356D"/>
    <w:pPr>
      <w:widowControl w:val="0"/>
    </w:pPr>
    <w:rPr>
      <w:rFonts w:ascii="Courier" w:hAnsi="Courier"/>
      <w:sz w:val="24"/>
      <w:lang w:val="fr-CA" w:eastAsia="fr-CA" w:bidi="fr-CA"/>
    </w:rPr>
  </w:style>
  <w:style w:type="paragraph" w:customStyle="1" w:styleId="1Technical">
    <w:name w:val="1Technical"/>
    <w:rsid w:val="00DB356D"/>
    <w:pPr>
      <w:widowControl w:val="0"/>
      <w:jc w:val="both"/>
    </w:pPr>
    <w:rPr>
      <w:rFonts w:ascii="Courier" w:hAnsi="Courier"/>
      <w:sz w:val="24"/>
      <w:lang w:val="fr-CA" w:eastAsia="fr-CA" w:bidi="fr-CA"/>
    </w:rPr>
  </w:style>
  <w:style w:type="paragraph" w:customStyle="1" w:styleId="1Document">
    <w:name w:val="1Document"/>
    <w:rsid w:val="00DB356D"/>
    <w:pPr>
      <w:keepNext/>
      <w:widowControl w:val="0"/>
      <w:jc w:val="center"/>
    </w:pPr>
    <w:rPr>
      <w:rFonts w:ascii="Courier" w:hAnsi="Courier"/>
      <w:sz w:val="24"/>
      <w:lang w:val="fr-CA" w:eastAsia="fr-CA" w:bidi="fr-CA"/>
    </w:rPr>
  </w:style>
  <w:style w:type="paragraph" w:styleId="TOC1">
    <w:name w:val="toc 1"/>
    <w:basedOn w:val="Normal"/>
    <w:next w:val="Normal"/>
    <w:autoRedefine/>
    <w:semiHidden/>
    <w:rsid w:val="00DB356D"/>
    <w:pPr>
      <w:tabs>
        <w:tab w:val="left" w:pos="720"/>
        <w:tab w:val="right" w:leader="dot" w:pos="9350"/>
      </w:tabs>
      <w:spacing w:before="120" w:after="120"/>
    </w:pPr>
    <w:rPr>
      <w:rFonts w:ascii="Arial" w:hAnsi="Arial" w:cs="Arial"/>
      <w:noProof/>
      <w:sz w:val="22"/>
    </w:rPr>
  </w:style>
  <w:style w:type="paragraph" w:styleId="TOC2">
    <w:name w:val="toc 2"/>
    <w:basedOn w:val="Normal"/>
    <w:next w:val="Normal"/>
    <w:autoRedefine/>
    <w:semiHidden/>
    <w:rsid w:val="00DB356D"/>
    <w:pPr>
      <w:ind w:left="240"/>
    </w:pPr>
  </w:style>
  <w:style w:type="paragraph" w:styleId="TOC3">
    <w:name w:val="toc 3"/>
    <w:basedOn w:val="Normal"/>
    <w:next w:val="Normal"/>
    <w:autoRedefine/>
    <w:semiHidden/>
    <w:rsid w:val="00DB356D"/>
    <w:pPr>
      <w:ind w:left="480"/>
    </w:pPr>
  </w:style>
  <w:style w:type="paragraph" w:styleId="TOC4">
    <w:name w:val="toc 4"/>
    <w:basedOn w:val="Normal"/>
    <w:next w:val="Normal"/>
    <w:autoRedefine/>
    <w:semiHidden/>
    <w:rsid w:val="00DB356D"/>
    <w:pPr>
      <w:ind w:left="720"/>
    </w:pPr>
  </w:style>
  <w:style w:type="paragraph" w:styleId="TOC5">
    <w:name w:val="toc 5"/>
    <w:basedOn w:val="Normal"/>
    <w:next w:val="Normal"/>
    <w:autoRedefine/>
    <w:semiHidden/>
    <w:rsid w:val="00DB356D"/>
    <w:pPr>
      <w:ind w:left="960"/>
    </w:pPr>
  </w:style>
  <w:style w:type="paragraph" w:styleId="TOC6">
    <w:name w:val="toc 6"/>
    <w:basedOn w:val="Normal"/>
    <w:next w:val="Normal"/>
    <w:autoRedefine/>
    <w:semiHidden/>
    <w:rsid w:val="00DB356D"/>
    <w:pPr>
      <w:ind w:left="1200"/>
    </w:pPr>
  </w:style>
  <w:style w:type="paragraph" w:styleId="TOC7">
    <w:name w:val="toc 7"/>
    <w:basedOn w:val="Normal"/>
    <w:next w:val="Normal"/>
    <w:autoRedefine/>
    <w:semiHidden/>
    <w:rsid w:val="00DB356D"/>
    <w:pPr>
      <w:ind w:left="1440"/>
    </w:pPr>
  </w:style>
  <w:style w:type="paragraph" w:styleId="TOC8">
    <w:name w:val="toc 8"/>
    <w:basedOn w:val="Normal"/>
    <w:next w:val="Normal"/>
    <w:autoRedefine/>
    <w:semiHidden/>
    <w:rsid w:val="00DB356D"/>
    <w:pPr>
      <w:ind w:left="1680"/>
    </w:pPr>
  </w:style>
  <w:style w:type="paragraph" w:styleId="TOC9">
    <w:name w:val="toc 9"/>
    <w:basedOn w:val="Normal"/>
    <w:next w:val="Normal"/>
    <w:autoRedefine/>
    <w:semiHidden/>
    <w:rsid w:val="00DB356D"/>
    <w:pPr>
      <w:ind w:left="1920"/>
    </w:pPr>
  </w:style>
  <w:style w:type="character" w:customStyle="1" w:styleId="bodycopy1">
    <w:name w:val="bodycopy1"/>
    <w:rsid w:val="006419A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CommentReference">
    <w:name w:val="annotation reference"/>
    <w:rsid w:val="00981C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1C48"/>
    <w:rPr>
      <w:sz w:val="20"/>
      <w:lang w:val="x-none" w:bidi="ar-SA"/>
    </w:rPr>
  </w:style>
  <w:style w:type="character" w:customStyle="1" w:styleId="CommentTextChar">
    <w:name w:val="Comment Text Char"/>
    <w:link w:val="CommentText"/>
    <w:rsid w:val="00981C48"/>
    <w:rPr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981C48"/>
    <w:rPr>
      <w:b/>
      <w:bCs/>
    </w:rPr>
  </w:style>
  <w:style w:type="character" w:customStyle="1" w:styleId="CommentSubjectChar">
    <w:name w:val="Comment Subject Char"/>
    <w:link w:val="CommentSubject"/>
    <w:rsid w:val="00981C48"/>
    <w:rPr>
      <w:b/>
      <w:bCs/>
      <w:lang w:eastAsia="fr-CA"/>
    </w:rPr>
  </w:style>
  <w:style w:type="paragraph" w:styleId="BalloonText">
    <w:name w:val="Balloon Text"/>
    <w:basedOn w:val="Normal"/>
    <w:link w:val="BalloonTextChar"/>
    <w:rsid w:val="00981C48"/>
    <w:rPr>
      <w:rFonts w:ascii="Tahoma" w:hAnsi="Tahoma"/>
      <w:sz w:val="16"/>
      <w:szCs w:val="16"/>
      <w:lang w:val="x-none" w:bidi="ar-SA"/>
    </w:rPr>
  </w:style>
  <w:style w:type="character" w:customStyle="1" w:styleId="BalloonTextChar">
    <w:name w:val="Balloon Text Char"/>
    <w:link w:val="BalloonText"/>
    <w:rsid w:val="00981C48"/>
    <w:rPr>
      <w:rFonts w:ascii="Tahoma" w:hAnsi="Tahoma" w:cs="Tahoma"/>
      <w:sz w:val="16"/>
      <w:szCs w:val="16"/>
      <w:lang w:eastAsia="fr-CA"/>
    </w:rPr>
  </w:style>
  <w:style w:type="character" w:customStyle="1" w:styleId="HeaderChar">
    <w:name w:val="Header Char"/>
    <w:link w:val="Header"/>
    <w:rsid w:val="00B803ED"/>
    <w:rPr>
      <w:sz w:val="24"/>
      <w:lang w:eastAsia="fr-CA"/>
    </w:rPr>
  </w:style>
  <w:style w:type="paragraph" w:styleId="Caption">
    <w:name w:val="caption"/>
    <w:basedOn w:val="Normal"/>
    <w:next w:val="Normal"/>
    <w:unhideWhenUsed/>
    <w:qFormat/>
    <w:rsid w:val="00FF6F7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DDCAA-19BC-4725-B9A0-671D859D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3944</Characters>
  <Application>Microsoft Office Word</Application>
  <DocSecurity>2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Expect as otherwise directed by Amendment to the Tender Documents, the Contractor shall, at the Contractor's expense, maintain</vt:lpstr>
      <vt:lpstr>Expect as otherwise directed by Amendment to the Tender Documents, the Contractor shall, at the Contractor's expense, maintain</vt:lpstr>
    </vt:vector>
  </TitlesOfParts>
  <Company>Defence Construction Canada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 as otherwise directed by Amendment to the Tender Documents, the Contractor shall, at the Contractor's expense, maintain</dc:title>
  <dc:subject/>
  <dc:creator>dcc-cdc</dc:creator>
  <cp:keywords/>
  <cp:lastModifiedBy>O'Meara, Megan</cp:lastModifiedBy>
  <cp:revision>2</cp:revision>
  <cp:lastPrinted>2015-01-07T15:57:00Z</cp:lastPrinted>
  <dcterms:created xsi:type="dcterms:W3CDTF">2021-10-28T03:08:00Z</dcterms:created>
  <dcterms:modified xsi:type="dcterms:W3CDTF">2021-10-28T03:08:00Z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4.3.5">
    <vt:lpwstr>2015-01-14 10:27:47</vt:lpwstr>
  </property>
</Properties>
</file>